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9E2" w:rsidRDefault="00FD49E2" w:rsidP="00FD49E2">
      <w:pPr>
        <w:pStyle w:val="NoSpacing"/>
        <w:rPr>
          <w:rFonts w:asciiTheme="minorHAnsi" w:hAnsiTheme="minorHAnsi"/>
          <w:b/>
          <w:color w:val="000000"/>
          <w:sz w:val="22"/>
          <w:szCs w:val="22"/>
        </w:rPr>
      </w:pPr>
    </w:p>
    <w:p w:rsidR="00FD49E2" w:rsidRDefault="00FD49E2" w:rsidP="00FD49E2">
      <w:pPr>
        <w:pStyle w:val="NoSpacing"/>
      </w:pPr>
      <w:r w:rsidRPr="633275E7">
        <w:rPr>
          <w:rFonts w:asciiTheme="minorHAnsi" w:eastAsiaTheme="minorEastAsia" w:hAnsiTheme="minorHAnsi" w:cstheme="minorBidi"/>
          <w:b/>
          <w:bCs/>
          <w:color w:val="000000" w:themeColor="text1"/>
          <w:sz w:val="22"/>
          <w:szCs w:val="22"/>
        </w:rPr>
        <w:t xml:space="preserve">Unit Abstract: </w:t>
      </w:r>
      <w:r w:rsidRPr="633275E7">
        <w:rPr>
          <w:rFonts w:ascii="Calibri" w:eastAsia="Calibri" w:hAnsi="Calibri" w:cs="Calibri"/>
          <w:sz w:val="22"/>
          <w:szCs w:val="22"/>
        </w:rPr>
        <w:t xml:space="preserve"> </w:t>
      </w:r>
      <w:r w:rsidRPr="633275E7">
        <w:rPr>
          <w:rFonts w:ascii="Calibri" w:eastAsia="Calibri" w:hAnsi="Calibri" w:cs="Calibri"/>
          <w:color w:val="5B9BD5" w:themeColor="accent1"/>
          <w:sz w:val="22"/>
          <w:szCs w:val="22"/>
        </w:rPr>
        <w:t xml:space="preserve">Students solve real-life and mathematical problems involving area, surface area and volume.  </w:t>
      </w:r>
      <w:r w:rsidRPr="633275E7">
        <w:rPr>
          <w:rFonts w:ascii="Calibri" w:eastAsia="Calibri" w:hAnsi="Calibri" w:cs="Calibri"/>
          <w:sz w:val="22"/>
          <w:szCs w:val="22"/>
        </w:rPr>
        <w:t xml:space="preserve">Students will make connections among the volumes of differently shaped objects, including cones, spheres, and cylinders. </w:t>
      </w:r>
    </w:p>
    <w:p w:rsidR="00FD49E2" w:rsidRDefault="00FD49E2" w:rsidP="00FD49E2"/>
    <w:tbl>
      <w:tblPr>
        <w:tblW w:w="13901" w:type="dxa"/>
        <w:tblInd w:w="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5"/>
        <w:gridCol w:w="185"/>
        <w:gridCol w:w="2587"/>
        <w:gridCol w:w="1404"/>
        <w:gridCol w:w="1368"/>
        <w:gridCol w:w="2371"/>
        <w:gridCol w:w="3281"/>
      </w:tblGrid>
      <w:tr w:rsidR="00FD49E2" w:rsidTr="005908B1">
        <w:trPr>
          <w:trHeight w:val="378"/>
        </w:trPr>
        <w:tc>
          <w:tcPr>
            <w:tcW w:w="13901" w:type="dxa"/>
            <w:gridSpan w:val="7"/>
          </w:tcPr>
          <w:p w:rsidR="00FD49E2" w:rsidRPr="00923F62" w:rsidRDefault="00FD49E2" w:rsidP="00800345">
            <w:pPr>
              <w:pStyle w:val="NormalWeb"/>
            </w:pPr>
            <w:r w:rsidRPr="633275E7">
              <w:rPr>
                <w:rFonts w:ascii="Arial" w:eastAsia="Arial" w:hAnsi="Arial" w:cs="Arial"/>
                <w:b/>
                <w:bCs/>
                <w:sz w:val="20"/>
                <w:szCs w:val="20"/>
              </w:rPr>
              <w:t xml:space="preserve">Overarching Question: </w:t>
            </w:r>
            <w:r w:rsidR="00800345">
              <w:rPr>
                <w:rFonts w:asciiTheme="minorHAnsi" w:eastAsia="Arial" w:hAnsiTheme="minorHAnsi" w:cs="Arial"/>
                <w:bCs/>
              </w:rPr>
              <w:t xml:space="preserve">How can the calculations of the volume of cylinders, cones, and spheres be useful to people in </w:t>
            </w:r>
            <w:r w:rsidR="00AD2C1E">
              <w:rPr>
                <w:rFonts w:asciiTheme="minorHAnsi" w:eastAsia="Arial" w:hAnsiTheme="minorHAnsi" w:cs="Arial"/>
                <w:bCs/>
              </w:rPr>
              <w:t xml:space="preserve">the real </w:t>
            </w:r>
            <w:r w:rsidR="00800345">
              <w:rPr>
                <w:rFonts w:asciiTheme="minorHAnsi" w:eastAsia="Arial" w:hAnsiTheme="minorHAnsi" w:cs="Arial"/>
                <w:bCs/>
              </w:rPr>
              <w:t>world?</w:t>
            </w:r>
          </w:p>
        </w:tc>
      </w:tr>
      <w:tr w:rsidR="00FD49E2" w:rsidTr="005908B1">
        <w:trPr>
          <w:trHeight w:val="333"/>
        </w:trPr>
        <w:tc>
          <w:tcPr>
            <w:tcW w:w="2890" w:type="dxa"/>
            <w:gridSpan w:val="2"/>
          </w:tcPr>
          <w:p w:rsidR="00FD49E2" w:rsidRPr="00680B10" w:rsidRDefault="00FD49E2" w:rsidP="005908B1">
            <w:pPr>
              <w:rPr>
                <w:rFonts w:ascii="Arial" w:hAnsi="Arial" w:cs="Arial"/>
                <w:sz w:val="20"/>
                <w:szCs w:val="20"/>
              </w:rPr>
            </w:pPr>
          </w:p>
        </w:tc>
        <w:tc>
          <w:tcPr>
            <w:tcW w:w="7730" w:type="dxa"/>
            <w:gridSpan w:val="4"/>
          </w:tcPr>
          <w:p w:rsidR="00FD49E2" w:rsidRPr="00384D92" w:rsidRDefault="00FD49E2" w:rsidP="005908B1">
            <w:pPr>
              <w:rPr>
                <w:rFonts w:ascii="Arial" w:hAnsi="Arial" w:cs="Arial"/>
                <w:b/>
                <w:sz w:val="20"/>
                <w:szCs w:val="20"/>
              </w:rPr>
            </w:pPr>
            <w:r w:rsidRPr="633275E7">
              <w:rPr>
                <w:rFonts w:ascii="Arial" w:eastAsia="Arial" w:hAnsi="Arial" w:cs="Arial"/>
                <w:b/>
                <w:bCs/>
                <w:sz w:val="20"/>
                <w:szCs w:val="20"/>
              </w:rPr>
              <w:t xml:space="preserve">This Unit:  </w:t>
            </w:r>
            <w:r w:rsidRPr="00D15067">
              <w:rPr>
                <w:rFonts w:ascii="Arial" w:eastAsia="Arial" w:hAnsi="Arial" w:cs="Arial"/>
                <w:bCs/>
                <w:color w:val="5B9BD5" w:themeColor="accent1"/>
                <w:sz w:val="20"/>
                <w:szCs w:val="20"/>
              </w:rPr>
              <w:t>area of polygons, area and circumference of circles, volume and surface area of rectangular and right triangular prisms,</w:t>
            </w:r>
            <w:r w:rsidRPr="00D15067">
              <w:rPr>
                <w:rFonts w:ascii="Arial" w:eastAsia="Arial" w:hAnsi="Arial" w:cs="Arial"/>
                <w:bCs/>
                <w:sz w:val="20"/>
                <w:szCs w:val="20"/>
              </w:rPr>
              <w:t xml:space="preserve"> make connections between area and volume, and know and use the volume formulas of cones, spheres, and cylinders</w:t>
            </w:r>
            <w:r w:rsidRPr="633275E7">
              <w:rPr>
                <w:rFonts w:ascii="Arial" w:eastAsia="Arial" w:hAnsi="Arial" w:cs="Arial"/>
                <w:b/>
                <w:bCs/>
                <w:color w:val="5B9BD5" w:themeColor="accent1"/>
                <w:sz w:val="20"/>
                <w:szCs w:val="20"/>
              </w:rPr>
              <w:t xml:space="preserve"> </w:t>
            </w:r>
          </w:p>
        </w:tc>
        <w:tc>
          <w:tcPr>
            <w:tcW w:w="3281" w:type="dxa"/>
          </w:tcPr>
          <w:p w:rsidR="00FD49E2" w:rsidRPr="00497992" w:rsidRDefault="00FD49E2" w:rsidP="005908B1">
            <w:pPr>
              <w:rPr>
                <w:rFonts w:ascii="Arial" w:hAnsi="Arial" w:cs="Arial"/>
                <w:sz w:val="20"/>
                <w:szCs w:val="20"/>
              </w:rPr>
            </w:pPr>
          </w:p>
        </w:tc>
      </w:tr>
      <w:tr w:rsidR="00FD49E2" w:rsidTr="005908B1">
        <w:trPr>
          <w:cantSplit/>
          <w:trHeight w:val="3735"/>
        </w:trPr>
        <w:tc>
          <w:tcPr>
            <w:tcW w:w="6881" w:type="dxa"/>
            <w:gridSpan w:val="4"/>
            <w:tcBorders>
              <w:bottom w:val="single" w:sz="18" w:space="0" w:color="auto"/>
            </w:tcBorders>
          </w:tcPr>
          <w:p w:rsidR="00FD49E2" w:rsidRDefault="00FD49E2" w:rsidP="005908B1">
            <w:pPr>
              <w:rPr>
                <w:rFonts w:ascii="Arial" w:hAnsi="Arial" w:cs="Arial"/>
                <w:b/>
                <w:sz w:val="20"/>
                <w:szCs w:val="20"/>
              </w:rPr>
            </w:pPr>
            <w:r w:rsidRPr="633275E7">
              <w:rPr>
                <w:rFonts w:ascii="Arial" w:eastAsia="Arial" w:hAnsi="Arial" w:cs="Arial"/>
                <w:b/>
                <w:bCs/>
                <w:sz w:val="20"/>
                <w:szCs w:val="20"/>
              </w:rPr>
              <w:t>Questions to Focus Assessment and Instruction:</w:t>
            </w:r>
          </w:p>
          <w:p w:rsidR="00FD49E2" w:rsidRPr="008556C4" w:rsidRDefault="00FD49E2" w:rsidP="005908B1">
            <w:pPr>
              <w:rPr>
                <w:rFonts w:ascii="Arial" w:hAnsi="Arial" w:cs="Arial"/>
                <w:b/>
                <w:sz w:val="20"/>
                <w:szCs w:val="20"/>
              </w:rPr>
            </w:pPr>
          </w:p>
          <w:p w:rsidR="00FD49E2" w:rsidRDefault="00FD49E2" w:rsidP="00FD49E2">
            <w:pPr>
              <w:pStyle w:val="ListParagraph"/>
              <w:numPr>
                <w:ilvl w:val="0"/>
                <w:numId w:val="2"/>
              </w:numPr>
              <w:ind w:left="342"/>
              <w:rPr>
                <w:rFonts w:asciiTheme="minorHAnsi" w:eastAsiaTheme="minorEastAsia" w:hAnsiTheme="minorHAnsi" w:cstheme="minorBidi"/>
                <w:color w:val="000000" w:themeColor="text1"/>
                <w:sz w:val="22"/>
                <w:szCs w:val="22"/>
              </w:rPr>
            </w:pPr>
            <w:r w:rsidRPr="633275E7">
              <w:rPr>
                <w:rFonts w:asciiTheme="minorHAnsi" w:eastAsiaTheme="minorEastAsia" w:hAnsiTheme="minorHAnsi" w:cstheme="minorBidi"/>
                <w:color w:val="5B9BD5" w:themeColor="accent1"/>
                <w:sz w:val="22"/>
                <w:szCs w:val="22"/>
              </w:rPr>
              <w:t>How can you determine volume of two- and three-dimensional objects composed of triangles, quadrilaterals, polygons, cubes, right prisms, and circles?</w:t>
            </w:r>
          </w:p>
          <w:p w:rsidR="00FD49E2" w:rsidRDefault="00FD49E2" w:rsidP="00FD49E2">
            <w:pPr>
              <w:numPr>
                <w:ilvl w:val="0"/>
                <w:numId w:val="2"/>
              </w:numPr>
              <w:ind w:left="342"/>
              <w:rPr>
                <w:rFonts w:asciiTheme="minorHAnsi" w:eastAsiaTheme="minorEastAsia" w:hAnsiTheme="minorHAnsi" w:cstheme="minorBidi"/>
                <w:color w:val="000000" w:themeColor="text1"/>
                <w:sz w:val="22"/>
                <w:szCs w:val="22"/>
              </w:rPr>
            </w:pPr>
            <w:r w:rsidRPr="633275E7">
              <w:rPr>
                <w:rFonts w:ascii="Calibri" w:eastAsia="Calibri" w:hAnsi="Calibri" w:cs="Calibri"/>
                <w:color w:val="5B9BD5" w:themeColor="accent1"/>
              </w:rPr>
              <w:t>Why are the units between area and volume different?</w:t>
            </w:r>
          </w:p>
          <w:p w:rsidR="00FD49E2" w:rsidRDefault="00FD49E2" w:rsidP="00FD49E2">
            <w:pPr>
              <w:numPr>
                <w:ilvl w:val="0"/>
                <w:numId w:val="2"/>
              </w:numPr>
              <w:ind w:left="342"/>
              <w:rPr>
                <w:rFonts w:asciiTheme="minorHAnsi" w:eastAsiaTheme="minorEastAsia" w:hAnsiTheme="minorHAnsi" w:cstheme="minorBidi"/>
                <w:color w:val="000000" w:themeColor="text1"/>
                <w:sz w:val="22"/>
                <w:szCs w:val="22"/>
              </w:rPr>
            </w:pPr>
            <w:r w:rsidRPr="633275E7">
              <w:rPr>
                <w:rFonts w:ascii="Calibri" w:eastAsia="Calibri" w:hAnsi="Calibri" w:cs="Calibri"/>
                <w:color w:val="5B9BD5" w:themeColor="accent1"/>
              </w:rPr>
              <w:t>How can we determine the volume of three-dimensional shapes?</w:t>
            </w:r>
          </w:p>
          <w:p w:rsidR="00FD49E2" w:rsidRDefault="00FD49E2" w:rsidP="00FD49E2">
            <w:pPr>
              <w:pStyle w:val="ListParagraph"/>
              <w:numPr>
                <w:ilvl w:val="0"/>
                <w:numId w:val="2"/>
              </w:numPr>
              <w:ind w:left="342"/>
              <w:rPr>
                <w:rFonts w:asciiTheme="minorHAnsi" w:eastAsiaTheme="minorEastAsia" w:hAnsiTheme="minorHAnsi" w:cstheme="minorBidi"/>
                <w:color w:val="000000" w:themeColor="text1"/>
                <w:sz w:val="22"/>
                <w:szCs w:val="22"/>
              </w:rPr>
            </w:pPr>
            <w:r w:rsidRPr="633275E7">
              <w:rPr>
                <w:rFonts w:asciiTheme="minorHAnsi" w:eastAsiaTheme="minorEastAsia" w:hAnsiTheme="minorHAnsi" w:cstheme="minorBidi"/>
                <w:sz w:val="22"/>
                <w:szCs w:val="22"/>
              </w:rPr>
              <w:t>How can determine the volume of cones, spheres, and cylinders</w:t>
            </w:r>
          </w:p>
          <w:p w:rsidR="00FD49E2" w:rsidRPr="00923F62" w:rsidRDefault="00FD49E2" w:rsidP="00FD49E2">
            <w:pPr>
              <w:pStyle w:val="ListParagraph"/>
              <w:numPr>
                <w:ilvl w:val="0"/>
                <w:numId w:val="2"/>
              </w:numPr>
              <w:ind w:left="342"/>
              <w:rPr>
                <w:rFonts w:asciiTheme="minorHAnsi" w:eastAsiaTheme="minorEastAsia" w:hAnsiTheme="minorHAnsi" w:cstheme="minorBidi"/>
                <w:color w:val="000000" w:themeColor="text1"/>
                <w:sz w:val="22"/>
                <w:szCs w:val="22"/>
              </w:rPr>
            </w:pPr>
            <w:r w:rsidRPr="633275E7">
              <w:rPr>
                <w:rFonts w:asciiTheme="minorHAnsi" w:eastAsiaTheme="minorEastAsia" w:hAnsiTheme="minorHAnsi" w:cstheme="minorBidi"/>
                <w:sz w:val="22"/>
                <w:szCs w:val="22"/>
              </w:rPr>
              <w:t>What connections can you make between geometric solids?</w:t>
            </w:r>
          </w:p>
        </w:tc>
        <w:tc>
          <w:tcPr>
            <w:tcW w:w="7020" w:type="dxa"/>
            <w:gridSpan w:val="3"/>
            <w:tcBorders>
              <w:bottom w:val="single" w:sz="18" w:space="0" w:color="auto"/>
            </w:tcBorders>
          </w:tcPr>
          <w:p w:rsidR="00FD49E2" w:rsidRDefault="00FD49E2" w:rsidP="005908B1">
            <w:pPr>
              <w:pStyle w:val="BodyText"/>
              <w:rPr>
                <w:b/>
                <w:i w:val="0"/>
                <w:sz w:val="20"/>
                <w:szCs w:val="20"/>
              </w:rPr>
            </w:pPr>
            <w:r w:rsidRPr="633275E7">
              <w:rPr>
                <w:b/>
                <w:bCs/>
                <w:i w:val="0"/>
                <w:iCs w:val="0"/>
                <w:sz w:val="20"/>
                <w:szCs w:val="20"/>
              </w:rPr>
              <w:t>Standards for Mathematical Practice</w:t>
            </w:r>
          </w:p>
          <w:p w:rsidR="00FD49E2" w:rsidRPr="00366FEF" w:rsidRDefault="00FD49E2" w:rsidP="005908B1">
            <w:pPr>
              <w:pStyle w:val="BodyText"/>
              <w:rPr>
                <w:b/>
                <w:i w:val="0"/>
                <w:sz w:val="20"/>
                <w:szCs w:val="20"/>
              </w:rPr>
            </w:pPr>
          </w:p>
          <w:p w:rsidR="00FD49E2" w:rsidRPr="00366FEF" w:rsidRDefault="00FD49E2" w:rsidP="005908B1">
            <w:pPr>
              <w:pStyle w:val="Default"/>
              <w:spacing w:after="157"/>
              <w:rPr>
                <w:rFonts w:cs="Times New Roman"/>
                <w:color w:val="auto"/>
                <w:sz w:val="20"/>
                <w:szCs w:val="20"/>
              </w:rPr>
            </w:pPr>
            <w:r w:rsidRPr="633275E7">
              <w:rPr>
                <w:rFonts w:ascii="Times New Roman" w:eastAsia="Times New Roman" w:hAnsi="Times New Roman" w:cs="Times New Roman"/>
                <w:b/>
                <w:bCs/>
                <w:color w:val="auto"/>
                <w:sz w:val="20"/>
                <w:szCs w:val="20"/>
              </w:rPr>
              <w:t xml:space="preserve">1.Make sense of problems and persevere in solving them. </w:t>
            </w:r>
          </w:p>
          <w:p w:rsidR="00FD49E2" w:rsidRPr="00366FEF" w:rsidRDefault="00FD49E2" w:rsidP="005908B1">
            <w:pPr>
              <w:pStyle w:val="Default"/>
            </w:pPr>
            <w:r w:rsidRPr="633275E7">
              <w:rPr>
                <w:rFonts w:ascii="Times New Roman" w:eastAsia="Times New Roman" w:hAnsi="Times New Roman" w:cs="Times New Roman"/>
                <w:color w:val="auto"/>
                <w:sz w:val="20"/>
                <w:szCs w:val="20"/>
              </w:rPr>
              <w:t xml:space="preserve">2.Reason abstractly and quantitatively. </w:t>
            </w:r>
          </w:p>
          <w:p w:rsidR="00FD49E2" w:rsidRPr="00366FEF" w:rsidRDefault="00FD49E2" w:rsidP="005908B1">
            <w:pPr>
              <w:pStyle w:val="Default"/>
              <w:rPr>
                <w:rFonts w:cs="Times New Roman"/>
                <w:color w:val="auto"/>
                <w:sz w:val="20"/>
                <w:szCs w:val="20"/>
              </w:rPr>
            </w:pPr>
            <w:r w:rsidRPr="633275E7">
              <w:rPr>
                <w:rFonts w:ascii="Times New Roman" w:eastAsia="Times New Roman" w:hAnsi="Times New Roman" w:cs="Times New Roman"/>
                <w:color w:val="auto"/>
                <w:sz w:val="20"/>
                <w:szCs w:val="20"/>
              </w:rPr>
              <w:t>3.Construct viable</w:t>
            </w:r>
            <w:r w:rsidRPr="633275E7">
              <w:rPr>
                <w:rFonts w:ascii="Times New Roman" w:eastAsia="Times New Roman" w:hAnsi="Times New Roman" w:cs="Times New Roman"/>
                <w:color w:val="auto"/>
                <w:sz w:val="54"/>
                <w:szCs w:val="54"/>
              </w:rPr>
              <w:t xml:space="preserve"> </w:t>
            </w:r>
            <w:r w:rsidRPr="633275E7">
              <w:rPr>
                <w:rFonts w:ascii="Times New Roman" w:eastAsia="Times New Roman" w:hAnsi="Times New Roman" w:cs="Times New Roman"/>
                <w:color w:val="auto"/>
                <w:sz w:val="20"/>
                <w:szCs w:val="20"/>
              </w:rPr>
              <w:t xml:space="preserve">arguments and critique the reasoning of others. </w:t>
            </w:r>
          </w:p>
          <w:p w:rsidR="00FD49E2" w:rsidRPr="00366FEF" w:rsidRDefault="00FD49E2" w:rsidP="005908B1">
            <w:pPr>
              <w:pStyle w:val="Default"/>
              <w:spacing w:after="157"/>
              <w:rPr>
                <w:rFonts w:cs="Times New Roman"/>
                <w:color w:val="auto"/>
                <w:sz w:val="20"/>
                <w:szCs w:val="20"/>
              </w:rPr>
            </w:pPr>
            <w:r w:rsidRPr="633275E7">
              <w:rPr>
                <w:rFonts w:ascii="Times New Roman" w:eastAsia="Times New Roman" w:hAnsi="Times New Roman" w:cs="Times New Roman"/>
                <w:color w:val="auto"/>
                <w:sz w:val="20"/>
                <w:szCs w:val="20"/>
              </w:rPr>
              <w:t xml:space="preserve">4.Model with mathematics. </w:t>
            </w:r>
          </w:p>
          <w:p w:rsidR="00FD49E2" w:rsidRPr="00366FEF" w:rsidRDefault="00FD49E2" w:rsidP="005908B1">
            <w:pPr>
              <w:pStyle w:val="Default"/>
              <w:spacing w:after="157"/>
              <w:rPr>
                <w:rFonts w:cs="Times New Roman"/>
                <w:color w:val="auto"/>
                <w:sz w:val="20"/>
                <w:szCs w:val="20"/>
              </w:rPr>
            </w:pPr>
            <w:r w:rsidRPr="633275E7">
              <w:rPr>
                <w:rFonts w:ascii="Times New Roman" w:eastAsia="Times New Roman" w:hAnsi="Times New Roman" w:cs="Times New Roman"/>
                <w:b/>
                <w:bCs/>
                <w:color w:val="auto"/>
                <w:sz w:val="20"/>
                <w:szCs w:val="20"/>
              </w:rPr>
              <w:t xml:space="preserve">5.Use appropriate tools strategically. </w:t>
            </w:r>
          </w:p>
          <w:p w:rsidR="00FD49E2" w:rsidRPr="00366FEF" w:rsidRDefault="00FD49E2" w:rsidP="005908B1">
            <w:pPr>
              <w:pStyle w:val="Default"/>
              <w:spacing w:after="157"/>
              <w:rPr>
                <w:rFonts w:cs="Times New Roman"/>
                <w:color w:val="auto"/>
                <w:sz w:val="20"/>
                <w:szCs w:val="20"/>
              </w:rPr>
            </w:pPr>
            <w:r w:rsidRPr="633275E7">
              <w:rPr>
                <w:rFonts w:ascii="Times New Roman" w:eastAsia="Times New Roman" w:hAnsi="Times New Roman" w:cs="Times New Roman"/>
                <w:b/>
                <w:bCs/>
                <w:color w:val="auto"/>
                <w:sz w:val="20"/>
                <w:szCs w:val="20"/>
              </w:rPr>
              <w:t>6.Attend to precision.</w:t>
            </w:r>
            <w:r w:rsidRPr="633275E7">
              <w:rPr>
                <w:rFonts w:ascii="Times New Roman" w:eastAsia="Times New Roman" w:hAnsi="Times New Roman" w:cs="Times New Roman"/>
                <w:color w:val="auto"/>
                <w:sz w:val="20"/>
                <w:szCs w:val="20"/>
              </w:rPr>
              <w:t xml:space="preserve"> </w:t>
            </w:r>
          </w:p>
          <w:p w:rsidR="00FD49E2" w:rsidRPr="00366FEF" w:rsidRDefault="00FD49E2" w:rsidP="005908B1">
            <w:pPr>
              <w:pStyle w:val="Default"/>
              <w:spacing w:after="157"/>
              <w:rPr>
                <w:rFonts w:cs="Times New Roman"/>
                <w:color w:val="auto"/>
                <w:sz w:val="20"/>
                <w:szCs w:val="20"/>
              </w:rPr>
            </w:pPr>
            <w:r w:rsidRPr="633275E7">
              <w:rPr>
                <w:rFonts w:ascii="Times New Roman" w:eastAsia="Times New Roman" w:hAnsi="Times New Roman" w:cs="Times New Roman"/>
                <w:color w:val="auto"/>
                <w:sz w:val="20"/>
                <w:szCs w:val="20"/>
              </w:rPr>
              <w:t xml:space="preserve">7.Look for and make use of structure. </w:t>
            </w:r>
          </w:p>
          <w:p w:rsidR="00FD49E2" w:rsidRDefault="00FD49E2" w:rsidP="005908B1">
            <w:pPr>
              <w:pStyle w:val="Default"/>
              <w:rPr>
                <w:rFonts w:cs="Times New Roman"/>
                <w:color w:val="auto"/>
                <w:sz w:val="54"/>
                <w:szCs w:val="54"/>
              </w:rPr>
            </w:pPr>
            <w:r w:rsidRPr="633275E7">
              <w:rPr>
                <w:rFonts w:ascii="Times New Roman" w:eastAsia="Times New Roman" w:hAnsi="Times New Roman" w:cs="Times New Roman"/>
                <w:color w:val="auto"/>
                <w:sz w:val="20"/>
                <w:szCs w:val="20"/>
              </w:rPr>
              <w:t>8.Look for and express regularity in repeated reasoning.</w:t>
            </w:r>
            <w:r w:rsidRPr="633275E7">
              <w:rPr>
                <w:rFonts w:ascii="Times New Roman" w:eastAsia="Times New Roman" w:hAnsi="Times New Roman" w:cs="Times New Roman"/>
                <w:color w:val="auto"/>
                <w:sz w:val="54"/>
                <w:szCs w:val="54"/>
              </w:rPr>
              <w:t xml:space="preserve"> </w:t>
            </w:r>
          </w:p>
          <w:p w:rsidR="00FD49E2" w:rsidRPr="00366FEF" w:rsidRDefault="00FD49E2" w:rsidP="005908B1">
            <w:pPr>
              <w:pStyle w:val="BodyText"/>
              <w:rPr>
                <w:b/>
                <w:i w:val="0"/>
                <w:sz w:val="20"/>
                <w:szCs w:val="20"/>
              </w:rPr>
            </w:pPr>
          </w:p>
        </w:tc>
      </w:tr>
      <w:tr w:rsidR="00FD49E2" w:rsidTr="005908B1">
        <w:trPr>
          <w:cantSplit/>
          <w:trHeight w:val="2988"/>
        </w:trPr>
        <w:tc>
          <w:tcPr>
            <w:tcW w:w="2705" w:type="dxa"/>
            <w:tcBorders>
              <w:right w:val="nil"/>
            </w:tcBorders>
          </w:tcPr>
          <w:p w:rsidR="00FD49E2" w:rsidRPr="00EF6F96" w:rsidRDefault="00FD49E2" w:rsidP="005908B1">
            <w:pPr>
              <w:rPr>
                <w:rFonts w:ascii="Arial" w:hAnsi="Arial" w:cs="Arial"/>
                <w:b/>
                <w:bCs/>
                <w:sz w:val="20"/>
                <w:szCs w:val="20"/>
              </w:rPr>
            </w:pPr>
            <w:r w:rsidRPr="633275E7">
              <w:rPr>
                <w:rFonts w:ascii="Arial" w:eastAsia="Arial" w:hAnsi="Arial" w:cs="Arial"/>
                <w:b/>
                <w:bCs/>
                <w:sz w:val="20"/>
                <w:szCs w:val="20"/>
              </w:rPr>
              <w:t>Academic Vocabulary</w:t>
            </w:r>
          </w:p>
          <w:p w:rsidR="00FD49E2" w:rsidRDefault="00FD49E2" w:rsidP="005908B1">
            <w:pPr>
              <w:rPr>
                <w:rFonts w:ascii="Arial" w:hAnsi="Arial" w:cs="Arial"/>
                <w:bCs/>
                <w:i/>
                <w:sz w:val="20"/>
                <w:szCs w:val="20"/>
              </w:rPr>
            </w:pPr>
            <w:r w:rsidRPr="633275E7">
              <w:rPr>
                <w:rFonts w:ascii="Arial" w:eastAsia="Arial" w:hAnsi="Arial" w:cs="Arial"/>
                <w:i/>
                <w:iCs/>
                <w:sz w:val="20"/>
                <w:szCs w:val="20"/>
              </w:rPr>
              <w:t>(5-8 most important content specific vocabulary words)</w:t>
            </w:r>
          </w:p>
          <w:p w:rsidR="00FD49E2" w:rsidRDefault="00FD49E2" w:rsidP="005908B1">
            <w:pPr>
              <w:rPr>
                <w:rFonts w:ascii="Arial" w:hAnsi="Arial" w:cs="Arial"/>
                <w:bCs/>
                <w:i/>
                <w:sz w:val="20"/>
                <w:szCs w:val="20"/>
              </w:rPr>
            </w:pPr>
          </w:p>
          <w:p w:rsidR="00FD49E2" w:rsidRPr="006F23B7" w:rsidRDefault="00FD49E2" w:rsidP="005908B1">
            <w:pPr>
              <w:rPr>
                <w:rFonts w:ascii="Arial" w:hAnsi="Arial" w:cs="Arial"/>
                <w:bCs/>
                <w:i/>
                <w:sz w:val="20"/>
                <w:szCs w:val="20"/>
              </w:rPr>
            </w:pPr>
          </w:p>
        </w:tc>
        <w:tc>
          <w:tcPr>
            <w:tcW w:w="2772" w:type="dxa"/>
            <w:gridSpan w:val="2"/>
            <w:tcBorders>
              <w:left w:val="nil"/>
              <w:right w:val="nil"/>
            </w:tcBorders>
          </w:tcPr>
          <w:p w:rsidR="00FD49E2" w:rsidRDefault="00FD49E2" w:rsidP="005908B1">
            <w:pPr>
              <w:rPr>
                <w:rFonts w:ascii="Arial" w:hAnsi="Arial" w:cs="Arial"/>
                <w:sz w:val="20"/>
                <w:szCs w:val="20"/>
              </w:rPr>
            </w:pPr>
            <w:r w:rsidRPr="633275E7">
              <w:rPr>
                <w:color w:val="5B9BD5" w:themeColor="accent1"/>
              </w:rPr>
              <w:t>Volume (blue gr 7)</w:t>
            </w:r>
          </w:p>
          <w:p w:rsidR="00FD49E2" w:rsidRPr="00EF6F96" w:rsidRDefault="00FD49E2" w:rsidP="005908B1">
            <w:r w:rsidRPr="633275E7">
              <w:rPr>
                <w:color w:val="5B9BD5" w:themeColor="accent1"/>
              </w:rPr>
              <w:t>Surface area</w:t>
            </w:r>
          </w:p>
          <w:p w:rsidR="00FD49E2" w:rsidRDefault="00FD49E2" w:rsidP="005908B1">
            <w:r w:rsidRPr="633275E7">
              <w:rPr>
                <w:color w:val="5B9BD5" w:themeColor="accent1"/>
              </w:rPr>
              <w:t>Right prism</w:t>
            </w:r>
          </w:p>
          <w:p w:rsidR="00FD49E2" w:rsidRPr="00EF6F96" w:rsidRDefault="00FD49E2" w:rsidP="005908B1">
            <w:r w:rsidRPr="633275E7">
              <w:rPr>
                <w:color w:val="5B9BD5" w:themeColor="accent1"/>
              </w:rPr>
              <w:t>Circumference</w:t>
            </w:r>
          </w:p>
          <w:p w:rsidR="00FD49E2" w:rsidRDefault="00FD49E2" w:rsidP="005908B1">
            <w:r w:rsidRPr="633275E7">
              <w:rPr>
                <w:color w:val="5B9BD5" w:themeColor="accent1"/>
              </w:rPr>
              <w:t>Radius</w:t>
            </w:r>
          </w:p>
          <w:p w:rsidR="00FD49E2" w:rsidRDefault="00FD49E2" w:rsidP="005908B1">
            <w:r w:rsidRPr="633275E7">
              <w:rPr>
                <w:color w:val="5B9BD5" w:themeColor="accent1"/>
              </w:rPr>
              <w:t>Diameter</w:t>
            </w:r>
          </w:p>
          <w:p w:rsidR="00FD49E2" w:rsidRDefault="00FD49E2" w:rsidP="005908B1">
            <w:r w:rsidRPr="633275E7">
              <w:rPr>
                <w:color w:val="5B9BD5" w:themeColor="accent1"/>
              </w:rPr>
              <w:t>Cubic unit</w:t>
            </w:r>
          </w:p>
          <w:p w:rsidR="00FD49E2" w:rsidRPr="00EF6F96" w:rsidRDefault="00FD49E2" w:rsidP="005908B1">
            <w:r>
              <w:t>Cone</w:t>
            </w:r>
          </w:p>
          <w:p w:rsidR="00FD49E2" w:rsidRPr="00EF6F96" w:rsidRDefault="00FD49E2" w:rsidP="005908B1">
            <w:r>
              <w:t>Cylinder</w:t>
            </w:r>
          </w:p>
          <w:p w:rsidR="00FD49E2" w:rsidRPr="00EF6F96" w:rsidRDefault="00FD49E2" w:rsidP="005908B1">
            <w:pPr>
              <w:rPr>
                <w:rFonts w:ascii="Arial" w:hAnsi="Arial" w:cs="Arial"/>
                <w:sz w:val="20"/>
                <w:szCs w:val="20"/>
              </w:rPr>
            </w:pPr>
            <w:r>
              <w:t>Sphere</w:t>
            </w:r>
          </w:p>
        </w:tc>
        <w:tc>
          <w:tcPr>
            <w:tcW w:w="2772" w:type="dxa"/>
            <w:gridSpan w:val="2"/>
            <w:tcBorders>
              <w:left w:val="nil"/>
              <w:right w:val="nil"/>
            </w:tcBorders>
          </w:tcPr>
          <w:p w:rsidR="00FD49E2" w:rsidRPr="00EF6F96" w:rsidRDefault="00FD49E2" w:rsidP="005908B1">
            <w:pPr>
              <w:rPr>
                <w:rFonts w:ascii="Arial" w:hAnsi="Arial" w:cs="Arial"/>
                <w:sz w:val="20"/>
                <w:szCs w:val="20"/>
              </w:rPr>
            </w:pPr>
          </w:p>
        </w:tc>
        <w:tc>
          <w:tcPr>
            <w:tcW w:w="5652" w:type="dxa"/>
            <w:gridSpan w:val="2"/>
            <w:tcBorders>
              <w:left w:val="nil"/>
            </w:tcBorders>
          </w:tcPr>
          <w:p w:rsidR="00FD49E2" w:rsidRPr="00B11AE9" w:rsidRDefault="00FD49E2" w:rsidP="005908B1">
            <w:pPr>
              <w:rPr>
                <w:rFonts w:ascii="Arial" w:hAnsi="Arial" w:cs="Arial"/>
                <w:sz w:val="20"/>
                <w:szCs w:val="20"/>
              </w:rPr>
            </w:pPr>
          </w:p>
        </w:tc>
      </w:tr>
    </w:tbl>
    <w:p w:rsidR="00FD49E2" w:rsidRDefault="00FD49E2" w:rsidP="00FD49E2">
      <w:pPr>
        <w:pStyle w:val="NoSpacing"/>
        <w:rPr>
          <w:rFonts w:asciiTheme="minorHAnsi" w:hAnsiTheme="minorHAnsi"/>
          <w:color w:val="000000"/>
          <w:sz w:val="22"/>
          <w:szCs w:val="22"/>
        </w:rPr>
      </w:pPr>
    </w:p>
    <w:p w:rsidR="00FD49E2" w:rsidRDefault="00FD49E2" w:rsidP="00FD49E2">
      <w:pPr>
        <w:pStyle w:val="NoSpacing"/>
        <w:rPr>
          <w:rFonts w:asciiTheme="minorHAnsi" w:hAnsiTheme="minorHAnsi"/>
          <w:color w:val="000000"/>
          <w:sz w:val="22"/>
          <w:szCs w:val="22"/>
        </w:rPr>
      </w:pPr>
    </w:p>
    <w:p w:rsidR="00FD49E2" w:rsidRPr="007A3129" w:rsidRDefault="00FD49E2" w:rsidP="00FD49E2">
      <w:pPr>
        <w:pStyle w:val="NoSpacing"/>
        <w:rPr>
          <w:rFonts w:asciiTheme="minorHAnsi" w:hAnsiTheme="minorHAnsi"/>
          <w:color w:val="000000"/>
          <w:sz w:val="22"/>
          <w:szCs w:val="22"/>
        </w:rPr>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FD49E2" w:rsidRPr="00160433" w:rsidTr="005908B1">
        <w:trPr>
          <w:trHeight w:val="287"/>
          <w:tblHeader/>
          <w:jc w:val="center"/>
        </w:trPr>
        <w:tc>
          <w:tcPr>
            <w:tcW w:w="3424" w:type="dxa"/>
            <w:shd w:val="clear" w:color="auto" w:fill="BFBFBF" w:themeFill="background1" w:themeFillShade="BF"/>
            <w:vAlign w:val="center"/>
          </w:tcPr>
          <w:p w:rsidR="00FD49E2" w:rsidRPr="00392997" w:rsidRDefault="00FD49E2" w:rsidP="005908B1">
            <w:pPr>
              <w:jc w:val="center"/>
              <w:rPr>
                <w:rFonts w:asciiTheme="minorHAnsi" w:hAnsiTheme="minorHAnsi"/>
                <w:b/>
              </w:rPr>
            </w:pPr>
            <w:r>
              <w:rPr>
                <w:rFonts w:asciiTheme="minorHAnsi" w:hAnsiTheme="minorHAnsi"/>
                <w:b/>
              </w:rPr>
              <w:lastRenderedPageBreak/>
              <w:t>Standards</w:t>
            </w:r>
          </w:p>
        </w:tc>
        <w:tc>
          <w:tcPr>
            <w:tcW w:w="2426" w:type="dxa"/>
            <w:shd w:val="clear" w:color="auto" w:fill="BFBFBF" w:themeFill="background1" w:themeFillShade="BF"/>
          </w:tcPr>
          <w:p w:rsidR="00FD49E2" w:rsidRPr="00392997" w:rsidRDefault="00FD49E2" w:rsidP="005908B1">
            <w:pPr>
              <w:jc w:val="center"/>
              <w:rPr>
                <w:rFonts w:asciiTheme="minorHAnsi" w:hAnsiTheme="minorHAnsi"/>
                <w:b/>
              </w:rPr>
            </w:pPr>
            <w:r>
              <w:rPr>
                <w:rFonts w:asciiTheme="minorHAnsi" w:hAnsiTheme="minorHAnsi"/>
                <w:b/>
              </w:rPr>
              <w:t xml:space="preserve">Learning Targets </w:t>
            </w:r>
            <w:r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FD49E2" w:rsidRPr="00392997" w:rsidRDefault="00FD49E2" w:rsidP="005908B1">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FD49E2" w:rsidRDefault="00FD49E2" w:rsidP="005908B1">
            <w:pPr>
              <w:jc w:val="center"/>
              <w:rPr>
                <w:rFonts w:asciiTheme="minorHAnsi" w:hAnsiTheme="minorHAnsi"/>
                <w:b/>
              </w:rPr>
            </w:pPr>
            <w:r>
              <w:rPr>
                <w:rFonts w:asciiTheme="minorHAnsi" w:hAnsiTheme="minorHAnsi"/>
                <w:b/>
              </w:rPr>
              <w:t xml:space="preserve">Assured Experiences </w:t>
            </w:r>
          </w:p>
          <w:p w:rsidR="00FD49E2" w:rsidRDefault="00FD49E2" w:rsidP="005908B1">
            <w:pPr>
              <w:jc w:val="center"/>
              <w:rPr>
                <w:rFonts w:asciiTheme="minorHAnsi" w:hAnsiTheme="minorHAnsi"/>
                <w:b/>
              </w:rPr>
            </w:pPr>
            <w:r w:rsidRPr="008E0E7B">
              <w:rPr>
                <w:rFonts w:asciiTheme="minorHAnsi" w:hAnsiTheme="minorHAnsi"/>
                <w:i/>
                <w:sz w:val="20"/>
                <w:szCs w:val="20"/>
              </w:rPr>
              <w:t>(common assessments and learning activities)</w:t>
            </w:r>
          </w:p>
        </w:tc>
      </w:tr>
      <w:tr w:rsidR="00FD49E2" w:rsidRPr="00160433" w:rsidTr="005908B1">
        <w:trPr>
          <w:trHeight w:val="7883"/>
          <w:jc w:val="center"/>
        </w:trPr>
        <w:tc>
          <w:tcPr>
            <w:tcW w:w="3424" w:type="dxa"/>
            <w:tcBorders>
              <w:bottom w:val="single" w:sz="4" w:space="0" w:color="000000"/>
            </w:tcBorders>
          </w:tcPr>
          <w:p w:rsidR="00FD49E2" w:rsidRPr="00CF7B1D" w:rsidRDefault="00FD49E2" w:rsidP="005908B1">
            <w:pPr>
              <w:spacing w:after="200" w:line="276" w:lineRule="auto"/>
              <w:rPr>
                <w:rFonts w:asciiTheme="minorHAnsi" w:eastAsiaTheme="minorHAnsi" w:hAnsiTheme="minorHAnsi" w:cs="Arial"/>
                <w:b/>
                <w:color w:val="5B9BD5" w:themeColor="accent1"/>
                <w:sz w:val="22"/>
                <w:szCs w:val="22"/>
              </w:rPr>
            </w:pPr>
            <w:r w:rsidRPr="633275E7">
              <w:rPr>
                <w:rFonts w:asciiTheme="minorHAnsi" w:eastAsiaTheme="minorEastAsia" w:hAnsiTheme="minorHAnsi" w:cstheme="minorBidi"/>
                <w:b/>
                <w:bCs/>
                <w:color w:val="5B9BD5" w:themeColor="accent1"/>
                <w:sz w:val="22"/>
                <w:szCs w:val="22"/>
              </w:rPr>
              <w:t>7.G.4  Know the formulas for the area and circumference of a circle and use them to solve problems; give an informal derivation of the relationship between the circumference and area of a circle.</w:t>
            </w:r>
          </w:p>
          <w:p w:rsidR="00FD49E2" w:rsidRPr="000C2DB2" w:rsidRDefault="00FD49E2" w:rsidP="005908B1">
            <w:pPr>
              <w:jc w:val="both"/>
              <w:rPr>
                <w:rFonts w:asciiTheme="minorHAnsi" w:hAnsiTheme="minorHAnsi"/>
                <w:sz w:val="22"/>
                <w:szCs w:val="22"/>
              </w:rPr>
            </w:pPr>
          </w:p>
        </w:tc>
        <w:tc>
          <w:tcPr>
            <w:tcW w:w="2426" w:type="dxa"/>
            <w:tcBorders>
              <w:bottom w:val="single" w:sz="4" w:space="0" w:color="000000"/>
            </w:tcBorders>
          </w:tcPr>
          <w:p w:rsidR="00FD49E2" w:rsidRPr="00972BAB" w:rsidRDefault="00FD49E2" w:rsidP="005908B1">
            <w:r w:rsidRPr="633275E7">
              <w:rPr>
                <w:rFonts w:ascii="Calibri" w:eastAsia="Calibri" w:hAnsi="Calibri" w:cs="Calibri"/>
                <w:color w:val="5B9BD5" w:themeColor="accent1"/>
              </w:rPr>
              <w:t>Students will investigate the relationship between circumference and diameter.</w:t>
            </w:r>
          </w:p>
          <w:p w:rsidR="00FD49E2" w:rsidRPr="00972BAB" w:rsidRDefault="00FD49E2" w:rsidP="005908B1">
            <w:r w:rsidRPr="2BE33AA6">
              <w:rPr>
                <w:rFonts w:ascii="Calibri" w:eastAsia="Calibri" w:hAnsi="Calibri" w:cs="Calibri"/>
                <w:color w:val="5B9BD5" w:themeColor="accent1"/>
              </w:rPr>
              <w:t xml:space="preserve"> </w:t>
            </w:r>
          </w:p>
          <w:p w:rsidR="00FD49E2" w:rsidRPr="00972BAB" w:rsidRDefault="00FD49E2" w:rsidP="005908B1">
            <w:r w:rsidRPr="633275E7">
              <w:rPr>
                <w:rFonts w:ascii="Calibri" w:eastAsia="Calibri" w:hAnsi="Calibri" w:cs="Calibri"/>
                <w:color w:val="5B9BD5" w:themeColor="accent1"/>
              </w:rPr>
              <w:t>Students will derive a formula for area of circles from relationships.</w:t>
            </w:r>
          </w:p>
          <w:p w:rsidR="00FD49E2" w:rsidRPr="00972BAB" w:rsidRDefault="00FD49E2" w:rsidP="005908B1"/>
          <w:p w:rsidR="00FD49E2" w:rsidRPr="00972BAB" w:rsidRDefault="00FD49E2" w:rsidP="005908B1">
            <w:r w:rsidRPr="633275E7">
              <w:rPr>
                <w:rFonts w:ascii="Calibri" w:eastAsia="Calibri" w:hAnsi="Calibri" w:cs="Calibri"/>
                <w:color w:val="5B9BD5" w:themeColor="accent1"/>
              </w:rPr>
              <w:t>Students will use the formulas for area and circumference of a circle to solve problems.</w:t>
            </w:r>
          </w:p>
          <w:p w:rsidR="00FD49E2" w:rsidRPr="00923F62" w:rsidRDefault="00FD49E2" w:rsidP="005908B1">
            <w:pPr>
              <w:autoSpaceDE w:val="0"/>
              <w:autoSpaceDN w:val="0"/>
              <w:adjustRightInd w:val="0"/>
              <w:rPr>
                <w:rFonts w:asciiTheme="minorHAnsi" w:hAnsiTheme="minorHAnsi"/>
                <w:sz w:val="22"/>
                <w:szCs w:val="22"/>
                <w:highlight w:val="yellow"/>
              </w:rPr>
            </w:pPr>
          </w:p>
          <w:p w:rsidR="00FD49E2" w:rsidRPr="00972BAB" w:rsidRDefault="00FD49E2" w:rsidP="005908B1">
            <w:pPr>
              <w:autoSpaceDE w:val="0"/>
              <w:autoSpaceDN w:val="0"/>
              <w:adjustRightInd w:val="0"/>
              <w:rPr>
                <w:rFonts w:asciiTheme="minorHAnsi" w:eastAsia="Calibri" w:hAnsiTheme="minorHAnsi"/>
                <w:color w:val="000000"/>
                <w:sz w:val="22"/>
                <w:szCs w:val="22"/>
              </w:rPr>
            </w:pPr>
          </w:p>
          <w:p w:rsidR="00FD49E2" w:rsidRPr="00972BAB" w:rsidRDefault="00FD49E2" w:rsidP="005908B1">
            <w:pPr>
              <w:rPr>
                <w:rFonts w:asciiTheme="minorHAnsi" w:hAnsiTheme="minorHAnsi"/>
                <w:color w:val="000000"/>
                <w:sz w:val="22"/>
                <w:szCs w:val="22"/>
              </w:rPr>
            </w:pPr>
          </w:p>
        </w:tc>
        <w:tc>
          <w:tcPr>
            <w:tcW w:w="4145" w:type="dxa"/>
            <w:tcBorders>
              <w:bottom w:val="single" w:sz="4" w:space="0" w:color="000000"/>
            </w:tcBorders>
          </w:tcPr>
          <w:p w:rsidR="00FD49E2" w:rsidRPr="0008070A" w:rsidRDefault="00FD49E2" w:rsidP="005908B1">
            <w:pPr>
              <w:pStyle w:val="Default"/>
              <w:rPr>
                <w:rFonts w:asciiTheme="minorHAnsi" w:hAnsiTheme="minorHAnsi"/>
                <w:sz w:val="22"/>
                <w:szCs w:val="22"/>
              </w:rPr>
            </w:pPr>
            <w:r w:rsidRPr="0008070A">
              <w:rPr>
                <w:rFonts w:asciiTheme="minorHAnsi" w:hAnsiTheme="minorHAnsi"/>
                <w:sz w:val="22"/>
                <w:szCs w:val="22"/>
              </w:rPr>
              <w:t xml:space="preserve">• Students measure the circumference and diameter of several circular objects in the room (clock, trash can, door knob, wheel, etc.). Students organize their information and discover the relationship between circumference and diameter by noticing the pattern in the ratio of the measures. Students write an expression that could be used to find the circumference of a circle with any diameter and check their expression on other circles. </w:t>
            </w:r>
          </w:p>
          <w:p w:rsidR="00FD49E2" w:rsidRPr="0008070A" w:rsidRDefault="00FD49E2" w:rsidP="005908B1">
            <w:pPr>
              <w:pStyle w:val="Default"/>
              <w:rPr>
                <w:rFonts w:asciiTheme="minorHAnsi" w:hAnsiTheme="minorHAnsi"/>
                <w:sz w:val="22"/>
                <w:szCs w:val="22"/>
              </w:rPr>
            </w:pPr>
          </w:p>
          <w:p w:rsidR="00FD49E2" w:rsidRPr="0008070A" w:rsidRDefault="00FD49E2" w:rsidP="005908B1">
            <w:pPr>
              <w:rPr>
                <w:rFonts w:asciiTheme="minorHAnsi" w:hAnsiTheme="minorHAnsi"/>
                <w:sz w:val="22"/>
                <w:szCs w:val="22"/>
              </w:rPr>
            </w:pPr>
            <w:r w:rsidRPr="0008070A">
              <w:rPr>
                <w:rFonts w:asciiTheme="minorHAnsi" w:hAnsiTheme="minorHAnsi"/>
                <w:sz w:val="22"/>
                <w:szCs w:val="22"/>
              </w:rPr>
              <w:t xml:space="preserve">• Students will use a circle as a model to make several equal parts as you would in a pie model. The greater number the cuts, the better. The pie pieces are laid out to form a shape similar to a parallelogram. Students will then write an expression for the area of the parallelogram related to the radius (note: the length of the base of the parallelogram is half the circumference, or </w:t>
            </w:r>
            <w:r w:rsidRPr="0008070A">
              <w:rPr>
                <w:rFonts w:asciiTheme="minorHAnsi" w:hAnsiTheme="minorHAnsi"/>
                <w:i/>
                <w:iCs/>
                <w:sz w:val="22"/>
                <w:szCs w:val="22"/>
              </w:rPr>
              <w:t>πr</w:t>
            </w:r>
            <w:r w:rsidRPr="0008070A">
              <w:rPr>
                <w:rFonts w:asciiTheme="minorHAnsi" w:hAnsiTheme="minorHAnsi"/>
                <w:sz w:val="22"/>
                <w:szCs w:val="22"/>
              </w:rPr>
              <w:t xml:space="preserve">, and the height is </w:t>
            </w:r>
            <w:r w:rsidRPr="0008070A">
              <w:rPr>
                <w:rFonts w:asciiTheme="minorHAnsi" w:hAnsiTheme="minorHAnsi"/>
                <w:i/>
                <w:iCs/>
                <w:sz w:val="22"/>
                <w:szCs w:val="22"/>
              </w:rPr>
              <w:t>r</w:t>
            </w:r>
            <w:r w:rsidRPr="0008070A">
              <w:rPr>
                <w:rFonts w:asciiTheme="minorHAnsi" w:hAnsiTheme="minorHAnsi"/>
                <w:sz w:val="22"/>
                <w:szCs w:val="22"/>
              </w:rPr>
              <w:t xml:space="preserve">, resulting in an area of </w:t>
            </w:r>
            <w:r w:rsidRPr="0008070A">
              <w:rPr>
                <w:rFonts w:asciiTheme="minorHAnsi" w:hAnsiTheme="minorHAnsi"/>
                <w:i/>
                <w:iCs/>
                <w:sz w:val="22"/>
                <w:szCs w:val="22"/>
              </w:rPr>
              <w:t>πr</w:t>
            </w:r>
            <w:r w:rsidRPr="0008070A">
              <w:rPr>
                <w:rFonts w:asciiTheme="minorHAnsi" w:hAnsiTheme="minorHAnsi"/>
                <w:sz w:val="22"/>
                <w:szCs w:val="22"/>
                <w:vertAlign w:val="superscript"/>
              </w:rPr>
              <w:t>2</w:t>
            </w:r>
            <w:r w:rsidRPr="0008070A">
              <w:rPr>
                <w:rFonts w:asciiTheme="minorHAnsi" w:hAnsiTheme="minorHAnsi"/>
                <w:sz w:val="22"/>
                <w:szCs w:val="22"/>
              </w:rPr>
              <w:t>. Extension: If students are given the circumference of a circle, could they write a formula to determine the circle’s area or given the area of a circle, could they write the formula for the circumference?</w:t>
            </w:r>
          </w:p>
          <w:p w:rsidR="00FD49E2" w:rsidRPr="00972BAB" w:rsidRDefault="00FD49E2" w:rsidP="005908B1">
            <w:pPr>
              <w:rPr>
                <w:rFonts w:asciiTheme="minorHAnsi" w:hAnsiTheme="minorHAnsi"/>
                <w:color w:val="000000"/>
                <w:sz w:val="22"/>
                <w:szCs w:val="22"/>
              </w:rPr>
            </w:pPr>
          </w:p>
        </w:tc>
        <w:tc>
          <w:tcPr>
            <w:tcW w:w="4145" w:type="dxa"/>
            <w:tcBorders>
              <w:bottom w:val="single" w:sz="4" w:space="0" w:color="000000"/>
            </w:tcBorders>
          </w:tcPr>
          <w:p w:rsidR="00FD49E2" w:rsidRDefault="00FD49E2" w:rsidP="00FD49E2">
            <w:pPr>
              <w:pStyle w:val="ListParagraph"/>
              <w:numPr>
                <w:ilvl w:val="0"/>
                <w:numId w:val="3"/>
              </w:numPr>
              <w:ind w:left="162" w:hanging="162"/>
              <w:rPr>
                <w:rFonts w:asciiTheme="minorHAnsi" w:eastAsiaTheme="minorEastAsia" w:hAnsiTheme="minorHAnsi" w:cstheme="minorBidi"/>
                <w:sz w:val="22"/>
                <w:szCs w:val="22"/>
              </w:rPr>
            </w:pPr>
            <w:r w:rsidRPr="633275E7">
              <w:rPr>
                <w:rFonts w:asciiTheme="minorHAnsi" w:eastAsiaTheme="minorEastAsia" w:hAnsiTheme="minorHAnsi" w:cstheme="minorBidi"/>
                <w:sz w:val="22"/>
                <w:szCs w:val="22"/>
              </w:rPr>
              <w:t>Unit 6 common summative assessment</w:t>
            </w:r>
          </w:p>
          <w:p w:rsidR="00FD49E2" w:rsidRPr="0008070A" w:rsidRDefault="00FD49E2" w:rsidP="005908B1">
            <w:pPr>
              <w:rPr>
                <w:rFonts w:asciiTheme="minorHAnsi" w:eastAsiaTheme="minorEastAsia" w:hAnsiTheme="minorHAnsi" w:cstheme="minorBidi"/>
                <w:sz w:val="22"/>
                <w:szCs w:val="22"/>
              </w:rPr>
            </w:pPr>
          </w:p>
          <w:p w:rsidR="00FD49E2" w:rsidRDefault="00FD49E2" w:rsidP="00FD49E2">
            <w:pPr>
              <w:pStyle w:val="ListParagraph"/>
              <w:numPr>
                <w:ilvl w:val="0"/>
                <w:numId w:val="3"/>
              </w:numPr>
              <w:ind w:left="162" w:hanging="162"/>
              <w:rPr>
                <w:rFonts w:asciiTheme="minorHAnsi" w:eastAsiaTheme="minorEastAsia" w:hAnsiTheme="minorHAnsi" w:cstheme="minorBidi"/>
                <w:sz w:val="22"/>
                <w:szCs w:val="22"/>
              </w:rPr>
            </w:pPr>
            <w:r w:rsidRPr="0008070A">
              <w:rPr>
                <w:rFonts w:asciiTheme="minorHAnsi" w:eastAsiaTheme="minorEastAsia" w:hAnsiTheme="minorHAnsi" w:cstheme="minorBidi"/>
                <w:sz w:val="22"/>
                <w:szCs w:val="22"/>
              </w:rPr>
              <w:t>assured learning experience</w:t>
            </w:r>
          </w:p>
          <w:p w:rsidR="00FD49E2" w:rsidRPr="0008070A" w:rsidRDefault="00FD49E2" w:rsidP="005908B1">
            <w:pPr>
              <w:pStyle w:val="ListParagraph"/>
              <w:rPr>
                <w:rFonts w:asciiTheme="minorHAnsi" w:eastAsiaTheme="minorEastAsia" w:hAnsiTheme="minorHAnsi" w:cstheme="minorBidi"/>
                <w:sz w:val="22"/>
                <w:szCs w:val="22"/>
              </w:rPr>
            </w:pPr>
          </w:p>
          <w:p w:rsidR="00FD49E2" w:rsidRPr="0008070A" w:rsidRDefault="00FD49E2" w:rsidP="005908B1">
            <w:pPr>
              <w:pStyle w:val="ListParagraph"/>
              <w:ind w:left="162"/>
              <w:rPr>
                <w:rFonts w:asciiTheme="minorHAnsi" w:eastAsiaTheme="minorEastAsia" w:hAnsiTheme="minorHAnsi" w:cstheme="minorBidi"/>
                <w:sz w:val="22"/>
                <w:szCs w:val="22"/>
              </w:rPr>
            </w:pPr>
          </w:p>
          <w:p w:rsidR="00FD49E2" w:rsidRPr="00923F62" w:rsidRDefault="00307492" w:rsidP="00FD49E2">
            <w:pPr>
              <w:pStyle w:val="ListParagraph"/>
              <w:numPr>
                <w:ilvl w:val="0"/>
                <w:numId w:val="3"/>
              </w:numPr>
              <w:rPr>
                <w:rStyle w:val="Hyperlink"/>
                <w:rFonts w:asciiTheme="minorHAnsi" w:eastAsiaTheme="minorEastAsia" w:hAnsiTheme="minorHAnsi" w:cstheme="minorBidi"/>
                <w:sz w:val="22"/>
                <w:szCs w:val="22"/>
              </w:rPr>
            </w:pPr>
            <w:hyperlink r:id="rId7">
              <w:r w:rsidR="00FD49E2" w:rsidRPr="00923F62">
                <w:rPr>
                  <w:rStyle w:val="Hyperlink"/>
                  <w:rFonts w:asciiTheme="minorHAnsi" w:eastAsiaTheme="minorEastAsia" w:hAnsiTheme="minorHAnsi" w:cstheme="minorBidi"/>
                  <w:sz w:val="22"/>
                  <w:szCs w:val="22"/>
                </w:rPr>
                <w:t>Web link to Circular Reasoning</w:t>
              </w:r>
            </w:hyperlink>
          </w:p>
          <w:p w:rsidR="00FD49E2" w:rsidRDefault="00307492" w:rsidP="005908B1">
            <w:hyperlink r:id="rId8" w:history="1">
              <w:r w:rsidR="00FD49E2" w:rsidRPr="00AF7D34">
                <w:rPr>
                  <w:rStyle w:val="Hyperlink"/>
                </w:rPr>
                <w:t>Hyperlink to circular reasoning</w:t>
              </w:r>
            </w:hyperlink>
          </w:p>
          <w:p w:rsidR="00FD49E2" w:rsidRDefault="00FD49E2" w:rsidP="005908B1">
            <w:pPr>
              <w:rPr>
                <w:rFonts w:asciiTheme="minorHAnsi" w:hAnsiTheme="minorHAnsi"/>
                <w:sz w:val="22"/>
                <w:szCs w:val="22"/>
              </w:rPr>
            </w:pPr>
          </w:p>
          <w:p w:rsidR="00FD49E2" w:rsidRDefault="00FD49E2" w:rsidP="005908B1">
            <w:pPr>
              <w:rPr>
                <w:rFonts w:asciiTheme="minorHAnsi" w:hAnsiTheme="minorHAnsi"/>
                <w:sz w:val="22"/>
                <w:szCs w:val="22"/>
              </w:rPr>
            </w:pPr>
          </w:p>
          <w:p w:rsidR="00FD49E2" w:rsidRDefault="00307492" w:rsidP="005908B1">
            <w:pPr>
              <w:rPr>
                <w:rStyle w:val="Hyperlink"/>
                <w:rFonts w:asciiTheme="minorHAnsi" w:hAnsiTheme="minorHAnsi"/>
                <w:sz w:val="22"/>
                <w:szCs w:val="22"/>
              </w:rPr>
            </w:pPr>
            <w:hyperlink r:id="rId9" w:history="1">
              <w:r w:rsidR="00FD49E2" w:rsidRPr="00CF7B1D">
                <w:rPr>
                  <w:rStyle w:val="Hyperlink"/>
                  <w:rFonts w:asciiTheme="minorHAnsi" w:hAnsiTheme="minorHAnsi"/>
                  <w:sz w:val="22"/>
                  <w:szCs w:val="22"/>
                </w:rPr>
                <w:t>Resources\mess_8-7ab.pdf</w:t>
              </w:r>
            </w:hyperlink>
          </w:p>
          <w:p w:rsidR="00FD49E2" w:rsidRDefault="00FD49E2" w:rsidP="005908B1">
            <w:pPr>
              <w:rPr>
                <w:rStyle w:val="Hyperlink"/>
                <w:rFonts w:asciiTheme="minorHAnsi" w:hAnsiTheme="minorHAnsi"/>
                <w:sz w:val="22"/>
                <w:szCs w:val="22"/>
              </w:rPr>
            </w:pPr>
          </w:p>
          <w:p w:rsidR="00FD49E2" w:rsidRDefault="00FD49E2" w:rsidP="005908B1">
            <w:pPr>
              <w:rPr>
                <w:rStyle w:val="Hyperlink"/>
                <w:rFonts w:asciiTheme="minorHAnsi" w:hAnsiTheme="minorHAnsi"/>
                <w:sz w:val="22"/>
                <w:szCs w:val="22"/>
              </w:rPr>
            </w:pPr>
          </w:p>
          <w:p w:rsidR="00FD49E2" w:rsidRDefault="00FD49E2" w:rsidP="005908B1">
            <w:pPr>
              <w:rPr>
                <w:rStyle w:val="Hyperlink"/>
                <w:rFonts w:asciiTheme="minorHAnsi" w:hAnsiTheme="minorHAnsi"/>
                <w:sz w:val="22"/>
                <w:szCs w:val="22"/>
              </w:rPr>
            </w:pPr>
            <w:r w:rsidRPr="633275E7">
              <w:rPr>
                <w:rStyle w:val="Hyperlink"/>
                <w:rFonts w:asciiTheme="minorHAnsi" w:eastAsiaTheme="minorEastAsia" w:hAnsiTheme="minorHAnsi" w:cstheme="minorBidi"/>
                <w:sz w:val="22"/>
                <w:szCs w:val="22"/>
              </w:rPr>
              <w:t xml:space="preserve">Hyperlink </w:t>
            </w:r>
          </w:p>
          <w:p w:rsidR="00FD49E2" w:rsidRDefault="00307492" w:rsidP="005908B1">
            <w:pPr>
              <w:rPr>
                <w:rStyle w:val="Hyperlink"/>
                <w:rFonts w:asciiTheme="minorHAnsi" w:eastAsiaTheme="minorEastAsia" w:hAnsiTheme="minorHAnsi" w:cstheme="minorBidi"/>
                <w:sz w:val="22"/>
                <w:szCs w:val="22"/>
              </w:rPr>
            </w:pPr>
            <w:hyperlink r:id="rId10">
              <w:r w:rsidR="00FD49E2" w:rsidRPr="2BE33AA6">
                <w:rPr>
                  <w:rStyle w:val="Hyperlink"/>
                  <w:rFonts w:asciiTheme="minorHAnsi" w:eastAsiaTheme="minorEastAsia" w:hAnsiTheme="minorHAnsi" w:cstheme="minorBidi"/>
                  <w:sz w:val="22"/>
                  <w:szCs w:val="22"/>
                </w:rPr>
                <w:t>Resources\circles.pdf</w:t>
              </w:r>
            </w:hyperlink>
          </w:p>
          <w:p w:rsidR="00FD49E2" w:rsidRDefault="00FD49E2" w:rsidP="005908B1">
            <w:pPr>
              <w:rPr>
                <w:rStyle w:val="Hyperlink"/>
                <w:rFonts w:asciiTheme="minorHAnsi" w:eastAsiaTheme="minorEastAsia" w:hAnsiTheme="minorHAnsi" w:cstheme="minorBidi"/>
                <w:sz w:val="22"/>
                <w:szCs w:val="22"/>
              </w:rPr>
            </w:pPr>
          </w:p>
          <w:p w:rsidR="00FD49E2" w:rsidRDefault="00307492" w:rsidP="005908B1">
            <w:hyperlink r:id="rId11" w:history="1">
              <w:r w:rsidR="00FD49E2" w:rsidRPr="00AF7D34">
                <w:rPr>
                  <w:rStyle w:val="Hyperlink"/>
                </w:rPr>
                <w:t>weblink to I speak math</w:t>
              </w:r>
            </w:hyperlink>
          </w:p>
          <w:p w:rsidR="00FD49E2" w:rsidRDefault="00FD49E2" w:rsidP="005908B1"/>
          <w:p w:rsidR="00FD49E2" w:rsidRPr="00CF7B1D" w:rsidRDefault="00FD49E2" w:rsidP="005908B1"/>
          <w:p w:rsidR="00FD49E2" w:rsidRPr="00CF7B1D" w:rsidRDefault="00307492" w:rsidP="005908B1">
            <w:hyperlink r:id="rId12" w:history="1">
              <w:r w:rsidR="00FD49E2" w:rsidRPr="00AF7D34">
                <w:rPr>
                  <w:rStyle w:val="Hyperlink"/>
                </w:rPr>
                <w:t>weblink to mr meyer hot coffee</w:t>
              </w:r>
            </w:hyperlink>
          </w:p>
          <w:p w:rsidR="00FD49E2" w:rsidRPr="00923F62" w:rsidRDefault="00FD49E2" w:rsidP="005908B1">
            <w:pPr>
              <w:rPr>
                <w:rFonts w:asciiTheme="minorHAnsi" w:hAnsiTheme="minorHAnsi"/>
                <w:sz w:val="22"/>
                <w:szCs w:val="22"/>
              </w:rPr>
            </w:pPr>
          </w:p>
          <w:p w:rsidR="00FD49E2" w:rsidRDefault="00FD49E2" w:rsidP="005908B1">
            <w:pPr>
              <w:pStyle w:val="ListParagraph"/>
              <w:rPr>
                <w:rFonts w:asciiTheme="minorHAnsi" w:hAnsiTheme="minorHAnsi"/>
                <w:sz w:val="22"/>
                <w:szCs w:val="22"/>
              </w:rPr>
            </w:pPr>
          </w:p>
          <w:p w:rsidR="00FD49E2" w:rsidRPr="00980C73" w:rsidRDefault="00FD49E2" w:rsidP="005908B1">
            <w:pPr>
              <w:pStyle w:val="ListParagraph"/>
              <w:ind w:left="162"/>
              <w:rPr>
                <w:rFonts w:asciiTheme="minorHAnsi" w:hAnsiTheme="minorHAnsi"/>
                <w:sz w:val="22"/>
                <w:szCs w:val="22"/>
              </w:rPr>
            </w:pPr>
          </w:p>
        </w:tc>
      </w:tr>
    </w:tbl>
    <w:p w:rsidR="00FD49E2" w:rsidRDefault="00FD49E2" w:rsidP="00FD49E2">
      <w:pPr>
        <w:pStyle w:val="NoSpacing"/>
      </w:pPr>
      <w:r>
        <w:br w:type="page"/>
      </w:r>
    </w:p>
    <w:p w:rsidR="00FD49E2" w:rsidRPr="007A3129" w:rsidRDefault="00FD49E2" w:rsidP="00FD49E2">
      <w:pPr>
        <w:pStyle w:val="NoSpacing"/>
        <w:rPr>
          <w:rFonts w:asciiTheme="minorHAnsi" w:hAnsiTheme="minorHAnsi"/>
          <w:color w:val="000000"/>
          <w:sz w:val="22"/>
          <w:szCs w:val="22"/>
        </w:rPr>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FD49E2" w:rsidRPr="00160433" w:rsidTr="005908B1">
        <w:trPr>
          <w:trHeight w:val="287"/>
          <w:tblHeader/>
          <w:jc w:val="center"/>
        </w:trPr>
        <w:tc>
          <w:tcPr>
            <w:tcW w:w="3424" w:type="dxa"/>
            <w:shd w:val="clear" w:color="auto" w:fill="BFBFBF" w:themeFill="background1" w:themeFillShade="BF"/>
            <w:vAlign w:val="center"/>
          </w:tcPr>
          <w:p w:rsidR="00FD49E2" w:rsidRPr="00392997" w:rsidRDefault="00FD49E2" w:rsidP="005908B1">
            <w:pPr>
              <w:jc w:val="center"/>
              <w:rPr>
                <w:rFonts w:asciiTheme="minorHAnsi" w:hAnsiTheme="minorHAnsi"/>
                <w:b/>
              </w:rPr>
            </w:pPr>
            <w:r>
              <w:rPr>
                <w:rFonts w:asciiTheme="minorHAnsi" w:hAnsiTheme="minorHAnsi"/>
                <w:b/>
              </w:rPr>
              <w:t>Standards</w:t>
            </w:r>
          </w:p>
        </w:tc>
        <w:tc>
          <w:tcPr>
            <w:tcW w:w="2426" w:type="dxa"/>
            <w:shd w:val="clear" w:color="auto" w:fill="BFBFBF" w:themeFill="background1" w:themeFillShade="BF"/>
          </w:tcPr>
          <w:p w:rsidR="00FD49E2" w:rsidRPr="00392997" w:rsidRDefault="00FD49E2" w:rsidP="005908B1">
            <w:pPr>
              <w:jc w:val="center"/>
              <w:rPr>
                <w:rFonts w:asciiTheme="minorHAnsi" w:hAnsiTheme="minorHAnsi"/>
                <w:b/>
              </w:rPr>
            </w:pPr>
            <w:r>
              <w:rPr>
                <w:rFonts w:asciiTheme="minorHAnsi" w:hAnsiTheme="minorHAnsi"/>
                <w:b/>
              </w:rPr>
              <w:t xml:space="preserve">Learning Targets </w:t>
            </w:r>
            <w:r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FD49E2" w:rsidRPr="00392997" w:rsidRDefault="00FD49E2" w:rsidP="005908B1">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FD49E2" w:rsidRDefault="00FD49E2" w:rsidP="005908B1">
            <w:pPr>
              <w:jc w:val="center"/>
              <w:rPr>
                <w:rFonts w:asciiTheme="minorHAnsi" w:hAnsiTheme="minorHAnsi"/>
                <w:b/>
              </w:rPr>
            </w:pPr>
            <w:r>
              <w:rPr>
                <w:rFonts w:asciiTheme="minorHAnsi" w:hAnsiTheme="minorHAnsi"/>
                <w:b/>
              </w:rPr>
              <w:t xml:space="preserve">Assured Experiences </w:t>
            </w:r>
          </w:p>
          <w:p w:rsidR="00FD49E2" w:rsidRDefault="00FD49E2" w:rsidP="005908B1">
            <w:pPr>
              <w:jc w:val="center"/>
              <w:rPr>
                <w:rFonts w:asciiTheme="minorHAnsi" w:hAnsiTheme="minorHAnsi"/>
                <w:b/>
              </w:rPr>
            </w:pPr>
            <w:r w:rsidRPr="008E0E7B">
              <w:rPr>
                <w:rFonts w:asciiTheme="minorHAnsi" w:hAnsiTheme="minorHAnsi"/>
                <w:i/>
                <w:sz w:val="20"/>
                <w:szCs w:val="20"/>
              </w:rPr>
              <w:t>(common assessments and learning activities)</w:t>
            </w:r>
          </w:p>
        </w:tc>
      </w:tr>
      <w:tr w:rsidR="00FD49E2" w:rsidRPr="00160433" w:rsidTr="005908B1">
        <w:trPr>
          <w:trHeight w:val="7883"/>
          <w:jc w:val="center"/>
        </w:trPr>
        <w:tc>
          <w:tcPr>
            <w:tcW w:w="3424" w:type="dxa"/>
            <w:tcBorders>
              <w:bottom w:val="single" w:sz="4" w:space="0" w:color="000000"/>
            </w:tcBorders>
          </w:tcPr>
          <w:p w:rsidR="00FD49E2" w:rsidRPr="0008070A" w:rsidRDefault="00FD49E2" w:rsidP="005908B1">
            <w:pPr>
              <w:rPr>
                <w:rFonts w:asciiTheme="minorHAnsi" w:eastAsia="Calibri" w:hAnsiTheme="minorHAnsi" w:cs="Arial"/>
              </w:rPr>
            </w:pPr>
            <w:r w:rsidRPr="0008070A">
              <w:rPr>
                <w:rFonts w:asciiTheme="minorHAnsi" w:eastAsia="Arial,Calibri" w:hAnsiTheme="minorHAnsi" w:cs="Arial,Calibri"/>
                <w:b/>
                <w:bCs/>
              </w:rPr>
              <w:t>8.G.9. Know the formulas for the volumes of cones, cylinders and spheres and use them to solve real-world and mathematical problems.</w:t>
            </w:r>
          </w:p>
          <w:p w:rsidR="00FD49E2" w:rsidRPr="000C2DB2" w:rsidRDefault="00FD49E2" w:rsidP="005908B1">
            <w:pPr>
              <w:jc w:val="both"/>
              <w:rPr>
                <w:rFonts w:asciiTheme="minorHAnsi" w:hAnsiTheme="minorHAnsi"/>
                <w:sz w:val="22"/>
                <w:szCs w:val="22"/>
              </w:rPr>
            </w:pPr>
          </w:p>
        </w:tc>
        <w:tc>
          <w:tcPr>
            <w:tcW w:w="2426" w:type="dxa"/>
            <w:tcBorders>
              <w:bottom w:val="single" w:sz="4" w:space="0" w:color="000000"/>
            </w:tcBorders>
          </w:tcPr>
          <w:p w:rsidR="00FD49E2" w:rsidRPr="00972BAB" w:rsidRDefault="00FD49E2" w:rsidP="005908B1">
            <w:r>
              <w:t xml:space="preserve">Students will demonstrate the memorization of the </w:t>
            </w:r>
            <w:r w:rsidRPr="633275E7">
              <w:t xml:space="preserve">volume </w:t>
            </w:r>
            <w:r>
              <w:t>formulas for cones, cylinders, and spheres.</w:t>
            </w:r>
          </w:p>
          <w:p w:rsidR="00FD49E2" w:rsidRPr="00972BAB" w:rsidRDefault="00FD49E2" w:rsidP="005908B1"/>
          <w:p w:rsidR="00FD49E2" w:rsidRPr="00972BAB" w:rsidRDefault="00FD49E2" w:rsidP="005908B1">
            <w:r>
              <w:t>Students will be able to use the formulas to solve real world problems.</w:t>
            </w:r>
          </w:p>
          <w:p w:rsidR="00FD49E2" w:rsidRPr="00923F62" w:rsidRDefault="00FD49E2" w:rsidP="005908B1">
            <w:pPr>
              <w:autoSpaceDE w:val="0"/>
              <w:autoSpaceDN w:val="0"/>
              <w:adjustRightInd w:val="0"/>
              <w:rPr>
                <w:rFonts w:asciiTheme="minorHAnsi" w:hAnsiTheme="minorHAnsi"/>
                <w:sz w:val="22"/>
                <w:szCs w:val="22"/>
                <w:highlight w:val="yellow"/>
              </w:rPr>
            </w:pPr>
          </w:p>
          <w:p w:rsidR="00FD49E2" w:rsidRPr="00972BAB" w:rsidRDefault="00FD49E2" w:rsidP="005908B1">
            <w:pPr>
              <w:autoSpaceDE w:val="0"/>
              <w:autoSpaceDN w:val="0"/>
              <w:adjustRightInd w:val="0"/>
              <w:rPr>
                <w:rFonts w:asciiTheme="minorHAnsi" w:eastAsia="Calibri" w:hAnsiTheme="minorHAnsi"/>
                <w:color w:val="000000"/>
                <w:sz w:val="22"/>
                <w:szCs w:val="22"/>
              </w:rPr>
            </w:pPr>
          </w:p>
          <w:p w:rsidR="00FD49E2" w:rsidRPr="00972BAB" w:rsidRDefault="00FD49E2" w:rsidP="005908B1">
            <w:pPr>
              <w:rPr>
                <w:rFonts w:asciiTheme="minorHAnsi" w:hAnsiTheme="minorHAnsi"/>
                <w:color w:val="000000"/>
                <w:sz w:val="22"/>
                <w:szCs w:val="22"/>
              </w:rPr>
            </w:pPr>
          </w:p>
        </w:tc>
        <w:tc>
          <w:tcPr>
            <w:tcW w:w="4145" w:type="dxa"/>
            <w:tcBorders>
              <w:bottom w:val="single" w:sz="4" w:space="0" w:color="000000"/>
            </w:tcBorders>
          </w:tcPr>
          <w:p w:rsidR="00FD49E2" w:rsidRPr="00A71CC1" w:rsidRDefault="00FD49E2" w:rsidP="005908B1">
            <w:pPr>
              <w:autoSpaceDE w:val="0"/>
              <w:autoSpaceDN w:val="0"/>
              <w:adjustRightInd w:val="0"/>
              <w:rPr>
                <w:rFonts w:asciiTheme="minorHAnsi" w:eastAsia="Calibri" w:hAnsiTheme="minorHAnsi" w:cs="Arial"/>
                <w:color w:val="000000"/>
                <w:sz w:val="20"/>
                <w:szCs w:val="20"/>
              </w:rPr>
            </w:pPr>
            <w:r w:rsidRPr="633275E7">
              <w:rPr>
                <w:rFonts w:asciiTheme="minorHAnsi" w:eastAsiaTheme="minorEastAsia" w:hAnsiTheme="minorHAnsi" w:cstheme="minorBidi"/>
                <w:color w:val="000000" w:themeColor="text1"/>
                <w:sz w:val="20"/>
                <w:szCs w:val="20"/>
              </w:rPr>
              <w:t xml:space="preserve">Students understanding of volume can be supported by focusing on the area of base times the height to calculate volume. Students understanding of surface area can be supported by focusing on the sum of the area of the faces. Nets can be used to evaluate surface area calculations. </w:t>
            </w:r>
          </w:p>
          <w:p w:rsidR="00FD49E2" w:rsidRPr="00A71CC1" w:rsidRDefault="00FD49E2" w:rsidP="005908B1">
            <w:pPr>
              <w:autoSpaceDE w:val="0"/>
              <w:autoSpaceDN w:val="0"/>
              <w:adjustRightInd w:val="0"/>
              <w:rPr>
                <w:rFonts w:asciiTheme="minorHAnsi" w:eastAsia="Calibri" w:hAnsiTheme="minorHAnsi" w:cs="Arial"/>
                <w:color w:val="000000"/>
                <w:sz w:val="20"/>
                <w:szCs w:val="20"/>
              </w:rPr>
            </w:pPr>
            <w:r w:rsidRPr="633275E7">
              <w:rPr>
                <w:rFonts w:asciiTheme="minorHAnsi" w:eastAsiaTheme="minorEastAsia" w:hAnsiTheme="minorHAnsi" w:cstheme="minorBidi"/>
                <w:color w:val="000000" w:themeColor="text1"/>
                <w:sz w:val="20"/>
                <w:szCs w:val="20"/>
              </w:rPr>
              <w:t xml:space="preserve">Examples: </w:t>
            </w:r>
          </w:p>
          <w:p w:rsidR="00FD49E2" w:rsidRPr="00A71CC1" w:rsidRDefault="00FD49E2" w:rsidP="005908B1">
            <w:pPr>
              <w:autoSpaceDE w:val="0"/>
              <w:autoSpaceDN w:val="0"/>
              <w:adjustRightInd w:val="0"/>
              <w:rPr>
                <w:rFonts w:asciiTheme="minorHAnsi" w:eastAsia="Calibri" w:hAnsiTheme="minorHAnsi" w:cs="Arial"/>
                <w:color w:val="000000"/>
                <w:sz w:val="20"/>
                <w:szCs w:val="20"/>
              </w:rPr>
            </w:pPr>
          </w:p>
          <w:p w:rsidR="00FD49E2" w:rsidRPr="00A71CC1" w:rsidRDefault="00FD49E2" w:rsidP="005908B1">
            <w:pPr>
              <w:autoSpaceDE w:val="0"/>
              <w:autoSpaceDN w:val="0"/>
              <w:adjustRightInd w:val="0"/>
              <w:rPr>
                <w:rFonts w:asciiTheme="minorHAnsi" w:eastAsia="Calibri" w:hAnsiTheme="minorHAnsi" w:cs="Arial"/>
                <w:color w:val="000000"/>
                <w:sz w:val="20"/>
                <w:szCs w:val="20"/>
              </w:rPr>
            </w:pPr>
            <w:r w:rsidRPr="633275E7">
              <w:rPr>
                <w:rFonts w:asciiTheme="minorHAnsi" w:eastAsiaTheme="minorEastAsia" w:hAnsiTheme="minorHAnsi" w:cstheme="minorBidi"/>
                <w:color w:val="000000" w:themeColor="text1"/>
                <w:sz w:val="20"/>
                <w:szCs w:val="20"/>
              </w:rPr>
              <w:t xml:space="preserve">• Choose one of the figures shown below and write a step by step procedure for determining the area. Find another person that chose the same figure as you did. How are your procedures the same and different? Do they yield the same result? </w:t>
            </w:r>
          </w:p>
          <w:p w:rsidR="00FD49E2" w:rsidRPr="00A71CC1" w:rsidRDefault="00FD49E2" w:rsidP="005908B1">
            <w:pPr>
              <w:autoSpaceDE w:val="0"/>
              <w:autoSpaceDN w:val="0"/>
              <w:adjustRightInd w:val="0"/>
              <w:jc w:val="center"/>
              <w:rPr>
                <w:rFonts w:asciiTheme="minorHAnsi" w:eastAsia="Calibri" w:hAnsiTheme="minorHAnsi" w:cs="Arial"/>
                <w:color w:val="000000"/>
                <w:sz w:val="20"/>
                <w:szCs w:val="20"/>
              </w:rPr>
            </w:pPr>
            <w:r w:rsidRPr="00A71CC1">
              <w:rPr>
                <w:rFonts w:asciiTheme="minorHAnsi" w:eastAsia="Calibri" w:hAnsiTheme="minorHAnsi" w:cs="Arial"/>
                <w:noProof/>
                <w:color w:val="000000"/>
                <w:sz w:val="20"/>
                <w:szCs w:val="20"/>
              </w:rPr>
              <w:drawing>
                <wp:inline distT="0" distB="0" distL="0" distR="0" wp14:anchorId="4C18D76F" wp14:editId="700D9C41">
                  <wp:extent cx="157162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1571625" cy="514350"/>
                          </a:xfrm>
                          <a:prstGeom prst="rect">
                            <a:avLst/>
                          </a:prstGeom>
                          <a:noFill/>
                          <a:ln>
                            <a:noFill/>
                          </a:ln>
                        </pic:spPr>
                      </pic:pic>
                    </a:graphicData>
                  </a:graphic>
                </wp:inline>
              </w:drawing>
            </w:r>
          </w:p>
          <w:p w:rsidR="00FD49E2" w:rsidRPr="00A71CC1" w:rsidRDefault="00FD49E2" w:rsidP="005908B1">
            <w:pPr>
              <w:autoSpaceDE w:val="0"/>
              <w:autoSpaceDN w:val="0"/>
              <w:adjustRightInd w:val="0"/>
              <w:rPr>
                <w:rFonts w:asciiTheme="minorHAnsi" w:eastAsia="Calibri" w:hAnsiTheme="minorHAnsi"/>
                <w:sz w:val="20"/>
                <w:szCs w:val="20"/>
              </w:rPr>
            </w:pPr>
          </w:p>
          <w:p w:rsidR="00FD49E2" w:rsidRDefault="00FD49E2" w:rsidP="005908B1">
            <w:pPr>
              <w:rPr>
                <w:rFonts w:ascii="Arial" w:eastAsia="Calibri" w:hAnsi="Arial" w:cs="Arial"/>
                <w:b/>
                <w:sz w:val="16"/>
                <w:szCs w:val="16"/>
              </w:rPr>
            </w:pPr>
            <w:r w:rsidRPr="633275E7">
              <w:rPr>
                <w:rFonts w:asciiTheme="minorHAnsi" w:eastAsiaTheme="minorEastAsia" w:hAnsiTheme="minorHAnsi" w:cstheme="minorBidi"/>
                <w:color w:val="000000" w:themeColor="text1"/>
                <w:sz w:val="20"/>
                <w:szCs w:val="20"/>
              </w:rPr>
              <w:t>• A cereal box is a rectangular prism. What is the volume of the cereal box? What is the surface area of the cereal box? (Hint: Create a net of the cereal box and use the net to calculate the surface area.) Make a poster explaining your work to share with the class.</w:t>
            </w:r>
          </w:p>
          <w:p w:rsidR="00FD49E2" w:rsidRPr="00F55A5D" w:rsidRDefault="00FD49E2" w:rsidP="005908B1">
            <w:pPr>
              <w:rPr>
                <w:rFonts w:ascii="Arial" w:eastAsia="Calibri" w:hAnsi="Arial"/>
                <w:sz w:val="16"/>
                <w:szCs w:val="16"/>
              </w:rPr>
            </w:pPr>
            <w:r w:rsidRPr="633275E7">
              <w:rPr>
                <w:rFonts w:ascii="Arial,Calibri" w:eastAsia="Arial,Calibri" w:hAnsi="Arial,Calibri" w:cs="Arial,Calibri"/>
                <w:b/>
                <w:bCs/>
                <w:sz w:val="16"/>
                <w:szCs w:val="16"/>
              </w:rPr>
              <w:t xml:space="preserve">8.G.9. </w:t>
            </w:r>
            <w:r w:rsidRPr="633275E7">
              <w:rPr>
                <w:rFonts w:ascii="Arial,Calibri" w:eastAsia="Arial,Calibri" w:hAnsi="Arial,Calibri" w:cs="Arial,Calibri"/>
                <w:sz w:val="16"/>
                <w:szCs w:val="16"/>
              </w:rPr>
              <w:t>Example:</w:t>
            </w:r>
          </w:p>
          <w:p w:rsidR="00FD49E2" w:rsidRPr="00F55A5D" w:rsidRDefault="00FD49E2" w:rsidP="005908B1">
            <w:pPr>
              <w:autoSpaceDE w:val="0"/>
              <w:autoSpaceDN w:val="0"/>
              <w:adjustRightInd w:val="0"/>
              <w:ind w:left="513" w:hanging="180"/>
              <w:rPr>
                <w:rFonts w:ascii="Arial" w:eastAsia="Calibri" w:hAnsi="Arial" w:cs="Arial"/>
                <w:color w:val="000000"/>
                <w:sz w:val="16"/>
                <w:szCs w:val="16"/>
              </w:rPr>
            </w:pPr>
            <w:r w:rsidRPr="633275E7">
              <w:rPr>
                <w:rFonts w:ascii="Arial,Calibri" w:eastAsia="Arial,Calibri" w:hAnsi="Arial,Calibri" w:cs="Arial,Calibri"/>
                <w:color w:val="000000" w:themeColor="text1"/>
                <w:sz w:val="16"/>
                <w:szCs w:val="16"/>
              </w:rPr>
              <w:t xml:space="preserve">• James wanted to plant pansies in his new planter. He wondered how much potting soil he should buy to fill it. Use the measurements in the diagram below to determine the planter’s volume. </w:t>
            </w:r>
          </w:p>
          <w:p w:rsidR="00FD49E2" w:rsidRPr="00F55A5D" w:rsidRDefault="00FD49E2" w:rsidP="005908B1">
            <w:pPr>
              <w:rPr>
                <w:rFonts w:ascii="Arial" w:eastAsia="Calibri" w:hAnsi="Arial" w:cs="Arial"/>
                <w:sz w:val="16"/>
                <w:szCs w:val="16"/>
              </w:rPr>
            </w:pPr>
          </w:p>
          <w:p w:rsidR="00FD49E2" w:rsidRPr="00923F62" w:rsidRDefault="00FD49E2" w:rsidP="005908B1">
            <w:pPr>
              <w:jc w:val="center"/>
              <w:rPr>
                <w:rFonts w:ascii="Arial" w:eastAsia="Calibri" w:hAnsi="Arial" w:cs="Arial"/>
                <w:sz w:val="16"/>
                <w:szCs w:val="16"/>
              </w:rPr>
            </w:pPr>
            <w:r w:rsidRPr="00F55A5D">
              <w:rPr>
                <w:rFonts w:ascii="Arial" w:eastAsia="Calibri" w:hAnsi="Arial" w:cs="Arial"/>
                <w:noProof/>
                <w:sz w:val="16"/>
                <w:szCs w:val="16"/>
              </w:rPr>
              <w:drawing>
                <wp:inline distT="0" distB="0" distL="0" distR="0" wp14:anchorId="55306F22" wp14:editId="3E245F91">
                  <wp:extent cx="9048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1104900"/>
                          </a:xfrm>
                          <a:prstGeom prst="rect">
                            <a:avLst/>
                          </a:prstGeom>
                          <a:noFill/>
                          <a:ln>
                            <a:noFill/>
                          </a:ln>
                        </pic:spPr>
                      </pic:pic>
                    </a:graphicData>
                  </a:graphic>
                </wp:inline>
              </w:drawing>
            </w:r>
          </w:p>
        </w:tc>
        <w:tc>
          <w:tcPr>
            <w:tcW w:w="4145" w:type="dxa"/>
            <w:tcBorders>
              <w:bottom w:val="single" w:sz="4" w:space="0" w:color="000000"/>
            </w:tcBorders>
          </w:tcPr>
          <w:p w:rsidR="00FD49E2" w:rsidRPr="0008070A" w:rsidRDefault="00FD49E2" w:rsidP="00FD49E2">
            <w:pPr>
              <w:pStyle w:val="ListParagraph"/>
              <w:numPr>
                <w:ilvl w:val="0"/>
                <w:numId w:val="3"/>
              </w:numPr>
              <w:ind w:left="162" w:hanging="162"/>
              <w:rPr>
                <w:rFonts w:asciiTheme="minorHAnsi" w:eastAsiaTheme="minorEastAsia" w:hAnsiTheme="minorHAnsi" w:cstheme="minorBidi"/>
                <w:sz w:val="22"/>
                <w:szCs w:val="22"/>
              </w:rPr>
            </w:pPr>
            <w:r w:rsidRPr="633275E7">
              <w:rPr>
                <w:rFonts w:asciiTheme="minorHAnsi" w:eastAsiaTheme="minorEastAsia" w:hAnsiTheme="minorHAnsi" w:cstheme="minorBidi"/>
                <w:sz w:val="22"/>
                <w:szCs w:val="22"/>
              </w:rPr>
              <w:t>Unit 6 common summative assessment</w:t>
            </w:r>
          </w:p>
          <w:p w:rsidR="00FD49E2" w:rsidRPr="0008070A" w:rsidRDefault="00FD49E2" w:rsidP="005908B1">
            <w:pPr>
              <w:rPr>
                <w:rFonts w:asciiTheme="minorHAnsi" w:hAnsiTheme="minorHAnsi"/>
                <w:sz w:val="22"/>
                <w:szCs w:val="22"/>
              </w:rPr>
            </w:pPr>
          </w:p>
          <w:p w:rsidR="00FD49E2" w:rsidRDefault="00FD49E2" w:rsidP="00FD49E2">
            <w:pPr>
              <w:pStyle w:val="ListParagraph"/>
              <w:numPr>
                <w:ilvl w:val="0"/>
                <w:numId w:val="3"/>
              </w:numPr>
              <w:ind w:left="162" w:hanging="162"/>
              <w:rPr>
                <w:rFonts w:asciiTheme="minorHAnsi" w:hAnsiTheme="minorHAnsi"/>
                <w:sz w:val="22"/>
                <w:szCs w:val="22"/>
              </w:rPr>
            </w:pPr>
            <w:r>
              <w:rPr>
                <w:rFonts w:asciiTheme="minorHAnsi" w:hAnsiTheme="minorHAnsi"/>
                <w:sz w:val="22"/>
                <w:szCs w:val="22"/>
              </w:rPr>
              <w:t>assured learning experience</w:t>
            </w:r>
          </w:p>
          <w:p w:rsidR="00FD49E2" w:rsidRPr="00CF7B1D" w:rsidRDefault="00FD49E2" w:rsidP="005908B1"/>
          <w:p w:rsidR="00FD49E2" w:rsidRPr="00CF7B1D" w:rsidRDefault="00FD49E2" w:rsidP="005908B1">
            <w:pPr>
              <w:ind w:left="720" w:hanging="720"/>
            </w:pPr>
            <w:r>
              <w:rPr>
                <w:noProof/>
              </w:rPr>
              <w:drawing>
                <wp:inline distT="0" distB="0" distL="0" distR="0" wp14:anchorId="14730CF4" wp14:editId="1CC4A6DD">
                  <wp:extent cx="342900" cy="342900"/>
                  <wp:effectExtent l="0" t="0" r="0" b="0"/>
                  <wp:docPr id="306244887" name="picture" descr="F,{94e9eeea-168f-4dd4-b4e4-cdc7212310ac}{16},5.291667,2.8125"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633275E7">
              <w:t>8.         Emma gets a scoop of ice cream in a cone, and Jenna gets a scoop in a cylindrical cup.  Each container has a height of 8 centimeters and a radius of 4 centimeters.  Each scoop of ice cream is a sphere with a radius of 4 centimeters.</w:t>
            </w:r>
          </w:p>
          <w:p w:rsidR="00FD49E2" w:rsidRPr="00CF7B1D" w:rsidRDefault="00FD49E2" w:rsidP="005908B1">
            <w:r w:rsidRPr="633275E7">
              <w:t xml:space="preserve"> </w:t>
            </w:r>
          </w:p>
          <w:p w:rsidR="00FD49E2" w:rsidRPr="00CF7B1D" w:rsidRDefault="00FD49E2" w:rsidP="005908B1">
            <w:pPr>
              <w:ind w:left="1080" w:hanging="360"/>
            </w:pPr>
            <w:r w:rsidRPr="633275E7">
              <w:t>a.       Suppose Jenna allows her ice cream to melt.  Will the melted ice cream fill her cup exactly?  Explain your reasoning using calculations.</w:t>
            </w:r>
          </w:p>
          <w:p w:rsidR="00FD49E2" w:rsidRPr="00CF7B1D" w:rsidRDefault="00FD49E2" w:rsidP="005908B1">
            <w:r w:rsidRPr="633275E7">
              <w:t xml:space="preserve"> </w:t>
            </w:r>
          </w:p>
          <w:p w:rsidR="00FD49E2" w:rsidRPr="00CF7B1D" w:rsidRDefault="00FD49E2" w:rsidP="005908B1">
            <w:pPr>
              <w:ind w:left="1080" w:hanging="360"/>
            </w:pPr>
            <w:r w:rsidRPr="633275E7">
              <w:t>b.      Suppose Emma allows her ice cream to melt.  Will the melted ice cream fill her cone exactly? Explain.</w:t>
            </w:r>
            <w:r w:rsidRPr="633275E7">
              <w:rPr>
                <w:b/>
                <w:bCs/>
              </w:rPr>
              <w:t xml:space="preserve"> </w:t>
            </w:r>
          </w:p>
          <w:p w:rsidR="00FD49E2" w:rsidRPr="0008070A" w:rsidRDefault="00FD49E2" w:rsidP="005908B1">
            <w:pPr>
              <w:ind w:left="1080" w:hanging="360"/>
            </w:pPr>
            <w:r w:rsidRPr="633275E7">
              <w:t>c.       How many same-sized scoops of ice cream of the size shown can be packed into each container?</w:t>
            </w:r>
          </w:p>
          <w:p w:rsidR="00FD49E2" w:rsidRPr="00980C73" w:rsidRDefault="00FD49E2" w:rsidP="005908B1">
            <w:pPr>
              <w:pStyle w:val="ListParagraph"/>
              <w:ind w:left="162"/>
              <w:rPr>
                <w:rFonts w:asciiTheme="minorHAnsi" w:hAnsiTheme="minorHAnsi"/>
                <w:sz w:val="22"/>
                <w:szCs w:val="22"/>
              </w:rPr>
            </w:pPr>
          </w:p>
        </w:tc>
      </w:tr>
    </w:tbl>
    <w:p w:rsidR="00FD49E2" w:rsidRPr="007A3129" w:rsidRDefault="00FD49E2" w:rsidP="00FD49E2">
      <w:pPr>
        <w:pStyle w:val="NoSpacing"/>
        <w:rPr>
          <w:rFonts w:asciiTheme="minorHAnsi" w:hAnsiTheme="minorHAnsi"/>
          <w:color w:val="000000"/>
          <w:sz w:val="22"/>
          <w:szCs w:val="22"/>
        </w:rPr>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FD49E2" w:rsidRPr="00160433" w:rsidTr="005908B1">
        <w:trPr>
          <w:trHeight w:val="287"/>
          <w:tblHeader/>
          <w:jc w:val="center"/>
        </w:trPr>
        <w:tc>
          <w:tcPr>
            <w:tcW w:w="3424" w:type="dxa"/>
            <w:shd w:val="clear" w:color="auto" w:fill="BFBFBF" w:themeFill="background1" w:themeFillShade="BF"/>
            <w:vAlign w:val="center"/>
          </w:tcPr>
          <w:p w:rsidR="00FD49E2" w:rsidRPr="00392997" w:rsidRDefault="00FD49E2" w:rsidP="005908B1">
            <w:pPr>
              <w:jc w:val="center"/>
              <w:rPr>
                <w:rFonts w:asciiTheme="minorHAnsi" w:hAnsiTheme="minorHAnsi"/>
                <w:b/>
              </w:rPr>
            </w:pPr>
            <w:r w:rsidRPr="633275E7">
              <w:rPr>
                <w:rFonts w:asciiTheme="minorHAnsi" w:eastAsiaTheme="minorEastAsia" w:hAnsiTheme="minorHAnsi" w:cstheme="minorBidi"/>
                <w:b/>
                <w:bCs/>
              </w:rPr>
              <w:t>Standards</w:t>
            </w:r>
          </w:p>
        </w:tc>
        <w:tc>
          <w:tcPr>
            <w:tcW w:w="2426" w:type="dxa"/>
            <w:shd w:val="clear" w:color="auto" w:fill="BFBFBF" w:themeFill="background1" w:themeFillShade="BF"/>
          </w:tcPr>
          <w:p w:rsidR="00FD49E2" w:rsidRPr="00392997" w:rsidRDefault="00FD49E2" w:rsidP="005908B1">
            <w:pPr>
              <w:jc w:val="center"/>
              <w:rPr>
                <w:rFonts w:asciiTheme="minorHAnsi" w:hAnsiTheme="minorHAnsi"/>
                <w:b/>
              </w:rPr>
            </w:pPr>
            <w:r w:rsidRPr="633275E7">
              <w:rPr>
                <w:rFonts w:asciiTheme="minorHAnsi" w:eastAsiaTheme="minorEastAsia" w:hAnsiTheme="minorHAnsi" w:cstheme="minorBidi"/>
                <w:b/>
                <w:bCs/>
              </w:rPr>
              <w:t xml:space="preserve">Learning Targets </w:t>
            </w:r>
            <w:r w:rsidRPr="633275E7">
              <w:rPr>
                <w:rFonts w:asciiTheme="minorHAnsi" w:eastAsiaTheme="minorEastAsia" w:hAnsiTheme="minorHAnsi" w:cstheme="minorBidi"/>
                <w:i/>
                <w:iCs/>
                <w:sz w:val="18"/>
                <w:szCs w:val="18"/>
              </w:rPr>
              <w:t>(including relevant practice standards)</w:t>
            </w:r>
          </w:p>
        </w:tc>
        <w:tc>
          <w:tcPr>
            <w:tcW w:w="4145" w:type="dxa"/>
            <w:shd w:val="clear" w:color="auto" w:fill="BFBFBF" w:themeFill="background1" w:themeFillShade="BF"/>
            <w:vAlign w:val="center"/>
          </w:tcPr>
          <w:p w:rsidR="00FD49E2" w:rsidRPr="00392997" w:rsidRDefault="00FD49E2" w:rsidP="005908B1">
            <w:pPr>
              <w:jc w:val="center"/>
              <w:rPr>
                <w:rFonts w:asciiTheme="minorHAnsi" w:hAnsiTheme="minorHAnsi"/>
                <w:b/>
              </w:rPr>
            </w:pPr>
            <w:r w:rsidRPr="633275E7">
              <w:rPr>
                <w:rFonts w:asciiTheme="minorHAnsi" w:eastAsiaTheme="minorEastAsia" w:hAnsiTheme="minorHAnsi" w:cstheme="minorBidi"/>
                <w:b/>
                <w:bCs/>
              </w:rPr>
              <w:t>Explanations and Examples*</w:t>
            </w:r>
          </w:p>
        </w:tc>
        <w:tc>
          <w:tcPr>
            <w:tcW w:w="4145" w:type="dxa"/>
            <w:shd w:val="clear" w:color="auto" w:fill="BFBFBF" w:themeFill="background1" w:themeFillShade="BF"/>
            <w:vAlign w:val="center"/>
          </w:tcPr>
          <w:p w:rsidR="00FD49E2" w:rsidRDefault="00FD49E2" w:rsidP="005908B1">
            <w:pPr>
              <w:jc w:val="center"/>
              <w:rPr>
                <w:rFonts w:asciiTheme="minorHAnsi" w:hAnsiTheme="minorHAnsi"/>
                <w:b/>
              </w:rPr>
            </w:pPr>
            <w:r w:rsidRPr="633275E7">
              <w:rPr>
                <w:rFonts w:asciiTheme="minorHAnsi" w:eastAsiaTheme="minorEastAsia" w:hAnsiTheme="minorHAnsi" w:cstheme="minorBidi"/>
                <w:b/>
                <w:bCs/>
              </w:rPr>
              <w:t xml:space="preserve">Assured Experiences </w:t>
            </w:r>
          </w:p>
          <w:p w:rsidR="00FD49E2" w:rsidRDefault="00FD49E2" w:rsidP="005908B1">
            <w:pPr>
              <w:jc w:val="center"/>
              <w:rPr>
                <w:rFonts w:asciiTheme="minorHAnsi" w:hAnsiTheme="minorHAnsi"/>
                <w:b/>
              </w:rPr>
            </w:pPr>
            <w:r w:rsidRPr="633275E7">
              <w:rPr>
                <w:rFonts w:asciiTheme="minorHAnsi" w:eastAsiaTheme="minorEastAsia" w:hAnsiTheme="minorHAnsi" w:cstheme="minorBidi"/>
                <w:i/>
                <w:iCs/>
                <w:sz w:val="20"/>
                <w:szCs w:val="20"/>
              </w:rPr>
              <w:t>(common assessments and learning activities)</w:t>
            </w:r>
          </w:p>
        </w:tc>
      </w:tr>
      <w:tr w:rsidR="00FD49E2" w:rsidRPr="00160433" w:rsidTr="005908B1">
        <w:trPr>
          <w:trHeight w:val="7883"/>
          <w:jc w:val="center"/>
        </w:trPr>
        <w:tc>
          <w:tcPr>
            <w:tcW w:w="3424" w:type="dxa"/>
            <w:tcBorders>
              <w:bottom w:val="single" w:sz="4" w:space="0" w:color="000000" w:themeColor="text1"/>
            </w:tcBorders>
          </w:tcPr>
          <w:p w:rsidR="00FD49E2" w:rsidRPr="00CF7B1D" w:rsidRDefault="00FD49E2" w:rsidP="005908B1">
            <w:pPr>
              <w:pStyle w:val="NoSpacing"/>
              <w:rPr>
                <w:rFonts w:asciiTheme="minorHAnsi" w:eastAsia="Calibri" w:hAnsiTheme="minorHAnsi"/>
                <w:b/>
                <w:color w:val="5B9BD5" w:themeColor="accent1"/>
              </w:rPr>
            </w:pPr>
            <w:r w:rsidRPr="633275E7">
              <w:rPr>
                <w:rFonts w:asciiTheme="minorHAnsi" w:eastAsiaTheme="minorEastAsia" w:hAnsiTheme="minorHAnsi" w:cstheme="minorBidi"/>
                <w:b/>
                <w:bCs/>
                <w:color w:val="5B9BD5" w:themeColor="accent1"/>
              </w:rPr>
              <w:t>7.G.6  Solve real-world and mathematical problems involving area, volume and surface area of two- and three-dimensional objects composed of triangles, quadrilaterals, polygons, cubes, and right prisms.</w:t>
            </w:r>
          </w:p>
          <w:p w:rsidR="00FD49E2" w:rsidRDefault="00FD49E2" w:rsidP="005908B1">
            <w:pPr>
              <w:rPr>
                <w:rFonts w:ascii="Arial" w:eastAsia="Calibri" w:hAnsi="Arial" w:cs="Arial"/>
                <w:b/>
                <w:sz w:val="20"/>
                <w:szCs w:val="20"/>
              </w:rPr>
            </w:pPr>
          </w:p>
          <w:p w:rsidR="00FD49E2" w:rsidRDefault="00FD49E2" w:rsidP="005908B1"/>
          <w:p w:rsidR="00FD49E2" w:rsidRDefault="00FD49E2" w:rsidP="005908B1">
            <w:pPr>
              <w:rPr>
                <w:rFonts w:ascii="Arial" w:eastAsia="Calibri" w:hAnsi="Arial" w:cs="Arial"/>
                <w:b/>
                <w:sz w:val="20"/>
                <w:szCs w:val="20"/>
              </w:rPr>
            </w:pPr>
          </w:p>
          <w:p w:rsidR="00FD49E2" w:rsidRDefault="00FD49E2" w:rsidP="005908B1">
            <w:pPr>
              <w:autoSpaceDE w:val="0"/>
              <w:autoSpaceDN w:val="0"/>
              <w:adjustRightInd w:val="0"/>
              <w:rPr>
                <w:sz w:val="20"/>
                <w:szCs w:val="20"/>
              </w:rPr>
            </w:pPr>
          </w:p>
          <w:p w:rsidR="00FD49E2" w:rsidRDefault="00FD49E2" w:rsidP="005908B1">
            <w:pPr>
              <w:autoSpaceDE w:val="0"/>
              <w:autoSpaceDN w:val="0"/>
              <w:adjustRightInd w:val="0"/>
              <w:rPr>
                <w:sz w:val="20"/>
                <w:szCs w:val="20"/>
              </w:rPr>
            </w:pPr>
          </w:p>
          <w:p w:rsidR="00FD49E2" w:rsidRDefault="00FD49E2" w:rsidP="005908B1">
            <w:pPr>
              <w:autoSpaceDE w:val="0"/>
              <w:autoSpaceDN w:val="0"/>
              <w:adjustRightInd w:val="0"/>
              <w:rPr>
                <w:sz w:val="20"/>
                <w:szCs w:val="20"/>
              </w:rPr>
            </w:pPr>
          </w:p>
          <w:p w:rsidR="00FD49E2" w:rsidRDefault="00FD49E2" w:rsidP="005908B1">
            <w:pPr>
              <w:jc w:val="both"/>
              <w:rPr>
                <w:rFonts w:asciiTheme="minorHAnsi" w:hAnsiTheme="minorHAnsi"/>
                <w:sz w:val="22"/>
                <w:szCs w:val="22"/>
              </w:rPr>
            </w:pPr>
          </w:p>
          <w:p w:rsidR="00FD49E2" w:rsidRDefault="00FD49E2" w:rsidP="005908B1">
            <w:pPr>
              <w:jc w:val="both"/>
              <w:rPr>
                <w:sz w:val="20"/>
                <w:szCs w:val="20"/>
              </w:rPr>
            </w:pPr>
          </w:p>
          <w:p w:rsidR="00FD49E2" w:rsidRDefault="00FD49E2" w:rsidP="005908B1">
            <w:pPr>
              <w:jc w:val="both"/>
              <w:rPr>
                <w:sz w:val="20"/>
                <w:szCs w:val="20"/>
              </w:rPr>
            </w:pPr>
          </w:p>
          <w:p w:rsidR="00FD49E2" w:rsidRDefault="00FD49E2" w:rsidP="005908B1">
            <w:pPr>
              <w:jc w:val="both"/>
              <w:rPr>
                <w:sz w:val="20"/>
                <w:szCs w:val="20"/>
              </w:rPr>
            </w:pPr>
          </w:p>
          <w:p w:rsidR="00FD49E2" w:rsidRDefault="00FD49E2" w:rsidP="005908B1">
            <w:pPr>
              <w:jc w:val="both"/>
              <w:rPr>
                <w:sz w:val="20"/>
                <w:szCs w:val="20"/>
              </w:rPr>
            </w:pPr>
          </w:p>
          <w:p w:rsidR="00FD49E2" w:rsidRDefault="00FD49E2" w:rsidP="005908B1">
            <w:pPr>
              <w:jc w:val="both"/>
              <w:rPr>
                <w:sz w:val="20"/>
                <w:szCs w:val="20"/>
              </w:rPr>
            </w:pPr>
          </w:p>
          <w:p w:rsidR="00FD49E2" w:rsidRDefault="00FD49E2" w:rsidP="005908B1">
            <w:pPr>
              <w:jc w:val="both"/>
              <w:rPr>
                <w:sz w:val="20"/>
                <w:szCs w:val="20"/>
              </w:rPr>
            </w:pPr>
          </w:p>
          <w:p w:rsidR="00FD49E2" w:rsidRDefault="00FD49E2" w:rsidP="005908B1">
            <w:pPr>
              <w:jc w:val="both"/>
              <w:rPr>
                <w:sz w:val="20"/>
                <w:szCs w:val="20"/>
              </w:rPr>
            </w:pPr>
          </w:p>
          <w:p w:rsidR="00FD49E2" w:rsidRDefault="00FD49E2" w:rsidP="005908B1">
            <w:pPr>
              <w:jc w:val="both"/>
              <w:rPr>
                <w:sz w:val="20"/>
                <w:szCs w:val="20"/>
              </w:rPr>
            </w:pPr>
          </w:p>
          <w:p w:rsidR="00FD49E2" w:rsidRDefault="00FD49E2" w:rsidP="005908B1">
            <w:pPr>
              <w:jc w:val="both"/>
              <w:rPr>
                <w:sz w:val="20"/>
                <w:szCs w:val="20"/>
              </w:rPr>
            </w:pPr>
          </w:p>
          <w:p w:rsidR="00FD49E2" w:rsidRDefault="00FD49E2" w:rsidP="005908B1">
            <w:pPr>
              <w:jc w:val="both"/>
              <w:rPr>
                <w:sz w:val="20"/>
                <w:szCs w:val="20"/>
              </w:rPr>
            </w:pPr>
          </w:p>
          <w:p w:rsidR="00FD49E2" w:rsidRDefault="00FD49E2" w:rsidP="005908B1">
            <w:pPr>
              <w:jc w:val="both"/>
              <w:rPr>
                <w:sz w:val="20"/>
                <w:szCs w:val="20"/>
              </w:rPr>
            </w:pPr>
          </w:p>
          <w:p w:rsidR="00FD49E2" w:rsidRDefault="00FD49E2" w:rsidP="005908B1">
            <w:pPr>
              <w:jc w:val="both"/>
              <w:rPr>
                <w:sz w:val="20"/>
                <w:szCs w:val="20"/>
              </w:rPr>
            </w:pPr>
          </w:p>
          <w:p w:rsidR="00FD49E2" w:rsidRPr="000C2DB2" w:rsidRDefault="00FD49E2" w:rsidP="005908B1">
            <w:pPr>
              <w:jc w:val="both"/>
              <w:rPr>
                <w:rFonts w:asciiTheme="minorHAnsi" w:hAnsiTheme="minorHAnsi"/>
                <w:sz w:val="22"/>
                <w:szCs w:val="22"/>
              </w:rPr>
            </w:pPr>
          </w:p>
        </w:tc>
        <w:tc>
          <w:tcPr>
            <w:tcW w:w="2426" w:type="dxa"/>
            <w:tcBorders>
              <w:bottom w:val="single" w:sz="4" w:space="0" w:color="000000" w:themeColor="text1"/>
            </w:tcBorders>
          </w:tcPr>
          <w:p w:rsidR="00FD49E2" w:rsidRPr="00972BAB" w:rsidRDefault="00FD49E2" w:rsidP="005908B1">
            <w:pPr>
              <w:pStyle w:val="NoSpacing"/>
            </w:pPr>
            <w:r w:rsidRPr="633275E7">
              <w:rPr>
                <w:rFonts w:asciiTheme="minorHAnsi" w:eastAsiaTheme="minorEastAsia" w:hAnsiTheme="minorHAnsi" w:cstheme="minorBidi"/>
                <w:color w:val="5B9BD5" w:themeColor="accent1"/>
              </w:rPr>
              <w:t>Students will solve real-world and mathematical problems involving area, volume and surface area of two- and three-dimensional objects composed of triangles, quadrilaterals, polygons, cubes, and right prisms.</w:t>
            </w:r>
          </w:p>
          <w:p w:rsidR="00FD49E2" w:rsidRPr="00972BAB" w:rsidRDefault="00FD49E2" w:rsidP="005908B1"/>
          <w:p w:rsidR="00FD49E2" w:rsidRPr="00972BAB" w:rsidRDefault="00FD49E2" w:rsidP="005908B1"/>
          <w:p w:rsidR="00FD49E2" w:rsidRPr="00972BAB" w:rsidRDefault="00FD49E2" w:rsidP="005908B1"/>
          <w:p w:rsidR="00FD49E2" w:rsidRPr="00972BAB" w:rsidRDefault="00FD49E2" w:rsidP="005908B1"/>
          <w:p w:rsidR="00FD49E2" w:rsidRPr="00972BAB" w:rsidRDefault="00FD49E2" w:rsidP="005908B1"/>
          <w:p w:rsidR="00FD49E2" w:rsidRPr="00972BAB" w:rsidRDefault="00FD49E2" w:rsidP="005908B1">
            <w:pPr>
              <w:rPr>
                <w:rFonts w:asciiTheme="minorHAnsi" w:hAnsiTheme="minorHAnsi"/>
                <w:color w:val="000000"/>
                <w:sz w:val="22"/>
                <w:szCs w:val="22"/>
              </w:rPr>
            </w:pPr>
          </w:p>
        </w:tc>
        <w:tc>
          <w:tcPr>
            <w:tcW w:w="4145" w:type="dxa"/>
            <w:tcBorders>
              <w:bottom w:val="single" w:sz="4" w:space="0" w:color="000000" w:themeColor="text1"/>
            </w:tcBorders>
          </w:tcPr>
          <w:p w:rsidR="00FD49E2" w:rsidRPr="004A5D28" w:rsidRDefault="00FD49E2" w:rsidP="005908B1">
            <w:pPr>
              <w:pStyle w:val="Default"/>
              <w:rPr>
                <w:sz w:val="20"/>
                <w:szCs w:val="20"/>
              </w:rPr>
            </w:pPr>
            <w:r w:rsidRPr="633275E7">
              <w:rPr>
                <w:rFonts w:ascii="Times New Roman" w:eastAsia="Times New Roman" w:hAnsi="Times New Roman" w:cs="Times New Roman"/>
                <w:sz w:val="20"/>
                <w:szCs w:val="20"/>
              </w:rPr>
              <w:t xml:space="preserve">• </w:t>
            </w:r>
            <w:r w:rsidRPr="0008070A">
              <w:t>The seventh grade class is building a mini golf game for the school carnival. The end of the putting green will be a circle. If the circle is 10 feet in diameter, how many square feet of grass carpet will they need to buy to cover the circle? How might you communicate this information to the salesperson to make sure you receive a piece of carpet that is the correct size?</w:t>
            </w:r>
            <w:r w:rsidRPr="633275E7">
              <w:rPr>
                <w:sz w:val="20"/>
                <w:szCs w:val="20"/>
              </w:rPr>
              <w:t xml:space="preserve"> </w:t>
            </w:r>
          </w:p>
          <w:p w:rsidR="00FD49E2" w:rsidRPr="004A5D28" w:rsidRDefault="00FD49E2" w:rsidP="005908B1">
            <w:pPr>
              <w:pStyle w:val="Default"/>
              <w:rPr>
                <w:sz w:val="20"/>
                <w:szCs w:val="20"/>
              </w:rPr>
            </w:pPr>
          </w:p>
          <w:p w:rsidR="00FD49E2" w:rsidRDefault="00FD49E2" w:rsidP="005908B1">
            <w:pPr>
              <w:rPr>
                <w:sz w:val="20"/>
                <w:szCs w:val="20"/>
              </w:rPr>
            </w:pPr>
          </w:p>
          <w:p w:rsidR="00FD49E2" w:rsidRDefault="00FD49E2" w:rsidP="005908B1">
            <w:pPr>
              <w:rPr>
                <w:sz w:val="20"/>
                <w:szCs w:val="20"/>
              </w:rPr>
            </w:pPr>
          </w:p>
          <w:p w:rsidR="00FD49E2" w:rsidRDefault="00FD49E2" w:rsidP="005908B1">
            <w:pPr>
              <w:rPr>
                <w:sz w:val="20"/>
                <w:szCs w:val="20"/>
              </w:rPr>
            </w:pPr>
          </w:p>
          <w:p w:rsidR="00FD49E2" w:rsidRDefault="00FD49E2" w:rsidP="005908B1">
            <w:pPr>
              <w:rPr>
                <w:sz w:val="20"/>
                <w:szCs w:val="20"/>
              </w:rPr>
            </w:pPr>
          </w:p>
          <w:p w:rsidR="00FD49E2" w:rsidRDefault="00FD49E2" w:rsidP="005908B1">
            <w:pPr>
              <w:rPr>
                <w:sz w:val="20"/>
                <w:szCs w:val="20"/>
              </w:rPr>
            </w:pPr>
          </w:p>
          <w:p w:rsidR="00FD49E2" w:rsidRPr="00972BAB" w:rsidRDefault="00FD49E2" w:rsidP="005908B1">
            <w:pPr>
              <w:jc w:val="center"/>
              <w:rPr>
                <w:rFonts w:asciiTheme="minorHAnsi" w:hAnsiTheme="minorHAnsi"/>
                <w:color w:val="000000"/>
                <w:sz w:val="22"/>
                <w:szCs w:val="22"/>
              </w:rPr>
            </w:pPr>
          </w:p>
        </w:tc>
        <w:tc>
          <w:tcPr>
            <w:tcW w:w="4145" w:type="dxa"/>
            <w:tcBorders>
              <w:bottom w:val="single" w:sz="4" w:space="0" w:color="000000" w:themeColor="text1"/>
            </w:tcBorders>
          </w:tcPr>
          <w:p w:rsidR="00FD49E2" w:rsidRDefault="00FD49E2" w:rsidP="00FD49E2">
            <w:pPr>
              <w:pStyle w:val="ListParagraph"/>
              <w:numPr>
                <w:ilvl w:val="0"/>
                <w:numId w:val="3"/>
              </w:numPr>
              <w:ind w:left="162" w:hanging="162"/>
              <w:rPr>
                <w:rFonts w:asciiTheme="minorHAnsi" w:eastAsiaTheme="minorEastAsia" w:hAnsiTheme="minorHAnsi" w:cstheme="minorBidi"/>
                <w:sz w:val="22"/>
                <w:szCs w:val="22"/>
              </w:rPr>
            </w:pPr>
            <w:r w:rsidRPr="633275E7">
              <w:rPr>
                <w:rFonts w:asciiTheme="minorHAnsi" w:eastAsiaTheme="minorEastAsia" w:hAnsiTheme="minorHAnsi" w:cstheme="minorBidi"/>
                <w:sz w:val="22"/>
                <w:szCs w:val="22"/>
              </w:rPr>
              <w:t>Unit 6 common summative assessment</w:t>
            </w:r>
          </w:p>
          <w:p w:rsidR="00FD49E2" w:rsidRDefault="00FD49E2" w:rsidP="005908B1">
            <w:pPr>
              <w:pStyle w:val="ListParagraph"/>
              <w:ind w:left="162"/>
              <w:rPr>
                <w:rFonts w:asciiTheme="minorHAnsi" w:eastAsiaTheme="minorEastAsia" w:hAnsiTheme="minorHAnsi" w:cstheme="minorBidi"/>
                <w:sz w:val="22"/>
                <w:szCs w:val="22"/>
              </w:rPr>
            </w:pPr>
          </w:p>
          <w:p w:rsidR="00FD49E2" w:rsidRDefault="00FD49E2" w:rsidP="00FD49E2">
            <w:pPr>
              <w:pStyle w:val="ListParagraph"/>
              <w:numPr>
                <w:ilvl w:val="0"/>
                <w:numId w:val="3"/>
              </w:numPr>
              <w:ind w:left="162" w:hanging="162"/>
              <w:rPr>
                <w:rFonts w:asciiTheme="minorHAnsi" w:eastAsiaTheme="minorEastAsia" w:hAnsiTheme="minorHAnsi" w:cstheme="minorBidi"/>
                <w:sz w:val="22"/>
                <w:szCs w:val="22"/>
              </w:rPr>
            </w:pPr>
            <w:r w:rsidRPr="633275E7">
              <w:rPr>
                <w:rFonts w:asciiTheme="minorHAnsi" w:eastAsiaTheme="minorEastAsia" w:hAnsiTheme="minorHAnsi" w:cstheme="minorBidi"/>
                <w:sz w:val="22"/>
                <w:szCs w:val="22"/>
              </w:rPr>
              <w:t>Learning activity:</w:t>
            </w:r>
          </w:p>
          <w:p w:rsidR="00FD49E2" w:rsidRDefault="00FD49E2" w:rsidP="005908B1"/>
          <w:p w:rsidR="00FD49E2" w:rsidRDefault="00307492" w:rsidP="005908B1">
            <w:hyperlink r:id="rId16">
              <w:r w:rsidR="00FD49E2" w:rsidRPr="2BE33AA6">
                <w:rPr>
                  <w:rStyle w:val="Hyperlink"/>
                  <w:rFonts w:asciiTheme="minorHAnsi" w:eastAsiaTheme="minorEastAsia" w:hAnsiTheme="minorHAnsi" w:cstheme="minorBidi"/>
                  <w:sz w:val="22"/>
                  <w:szCs w:val="22"/>
                </w:rPr>
                <w:t>Web link to Lawn Mowing</w:t>
              </w:r>
            </w:hyperlink>
          </w:p>
          <w:p w:rsidR="00FD49E2" w:rsidRDefault="00307492" w:rsidP="005908B1">
            <w:hyperlink r:id="rId17" w:history="1">
              <w:r w:rsidR="00FD49E2" w:rsidRPr="00AF7D34">
                <w:rPr>
                  <w:rStyle w:val="Hyperlink"/>
                </w:rPr>
                <w:t>Hyperlink to lawn mowing</w:t>
              </w:r>
            </w:hyperlink>
          </w:p>
          <w:p w:rsidR="00FD49E2" w:rsidRDefault="00FD49E2" w:rsidP="005908B1"/>
          <w:p w:rsidR="00FD49E2" w:rsidRDefault="00307492" w:rsidP="005908B1">
            <w:hyperlink r:id="rId18">
              <w:r w:rsidR="00FD49E2" w:rsidRPr="2BE33AA6">
                <w:rPr>
                  <w:rStyle w:val="Hyperlink"/>
                  <w:rFonts w:asciiTheme="minorHAnsi" w:eastAsiaTheme="minorEastAsia" w:hAnsiTheme="minorHAnsi" w:cstheme="minorBidi"/>
                  <w:sz w:val="22"/>
                  <w:szCs w:val="22"/>
                </w:rPr>
                <w:t>Web link to Sample Volume question</w:t>
              </w:r>
            </w:hyperlink>
          </w:p>
          <w:p w:rsidR="00FD49E2" w:rsidRDefault="00307492" w:rsidP="005908B1">
            <w:hyperlink r:id="rId19" w:history="1">
              <w:r w:rsidR="00FD49E2">
                <w:rPr>
                  <w:rStyle w:val="Hyperlink"/>
                </w:rPr>
                <w:t>Hyperlink to sample volume question</w:t>
              </w:r>
            </w:hyperlink>
          </w:p>
          <w:p w:rsidR="00FD49E2" w:rsidRDefault="00FD49E2" w:rsidP="005908B1"/>
          <w:p w:rsidR="00FD49E2" w:rsidRDefault="00307492" w:rsidP="005908B1">
            <w:pPr>
              <w:rPr>
                <w:rStyle w:val="Hyperlink"/>
                <w:rFonts w:asciiTheme="minorHAnsi" w:eastAsiaTheme="minorEastAsia" w:hAnsiTheme="minorHAnsi" w:cstheme="minorBidi"/>
                <w:sz w:val="22"/>
                <w:szCs w:val="22"/>
              </w:rPr>
            </w:pPr>
            <w:hyperlink r:id="rId20">
              <w:r w:rsidR="00FD49E2" w:rsidRPr="2BE33AA6">
                <w:rPr>
                  <w:rStyle w:val="Hyperlink"/>
                  <w:rFonts w:asciiTheme="minorHAnsi" w:eastAsiaTheme="minorEastAsia" w:hAnsiTheme="minorHAnsi" w:cstheme="minorBidi"/>
                  <w:sz w:val="22"/>
                  <w:szCs w:val="22"/>
                </w:rPr>
                <w:t>Web link to Parallelagram question</w:t>
              </w:r>
            </w:hyperlink>
          </w:p>
          <w:p w:rsidR="00FD49E2" w:rsidRDefault="00FD49E2" w:rsidP="005908B1"/>
          <w:p w:rsidR="00FD49E2" w:rsidRPr="0008070A" w:rsidRDefault="00307492" w:rsidP="005908B1">
            <w:hyperlink r:id="rId21" w:history="1">
              <w:r w:rsidR="00FD49E2" w:rsidRPr="00AF7D34">
                <w:rPr>
                  <w:rStyle w:val="Hyperlink"/>
                </w:rPr>
                <w:t>Hyperlink to parallelogram question</w:t>
              </w:r>
            </w:hyperlink>
          </w:p>
          <w:p w:rsidR="00FD49E2" w:rsidRDefault="00FD49E2" w:rsidP="005908B1">
            <w:pPr>
              <w:rPr>
                <w:rFonts w:asciiTheme="minorHAnsi" w:hAnsiTheme="minorHAnsi"/>
                <w:sz w:val="22"/>
                <w:szCs w:val="22"/>
              </w:rPr>
            </w:pPr>
          </w:p>
          <w:p w:rsidR="00FD49E2" w:rsidRDefault="00307492" w:rsidP="005908B1">
            <w:pPr>
              <w:rPr>
                <w:rFonts w:asciiTheme="minorHAnsi" w:hAnsiTheme="minorHAnsi"/>
                <w:sz w:val="22"/>
                <w:szCs w:val="22"/>
              </w:rPr>
            </w:pPr>
            <w:hyperlink r:id="rId22" w:history="1">
              <w:r w:rsidR="00FD49E2" w:rsidRPr="00AF7D34">
                <w:rPr>
                  <w:rStyle w:val="Hyperlink"/>
                  <w:rFonts w:asciiTheme="minorHAnsi" w:hAnsiTheme="minorHAnsi"/>
                  <w:sz w:val="22"/>
                  <w:szCs w:val="22"/>
                </w:rPr>
                <w:t>Hyperlink to popcorn</w:t>
              </w:r>
            </w:hyperlink>
          </w:p>
          <w:p w:rsidR="00FD49E2" w:rsidRDefault="00307492" w:rsidP="005908B1">
            <w:pPr>
              <w:rPr>
                <w:rFonts w:asciiTheme="minorHAnsi" w:hAnsiTheme="minorHAnsi"/>
                <w:sz w:val="22"/>
                <w:szCs w:val="22"/>
              </w:rPr>
            </w:pPr>
            <w:hyperlink r:id="rId23" w:history="1">
              <w:r w:rsidR="00FD49E2" w:rsidRPr="00AF7D34">
                <w:rPr>
                  <w:rStyle w:val="Hyperlink"/>
                  <w:rFonts w:asciiTheme="minorHAnsi" w:hAnsiTheme="minorHAnsi"/>
                  <w:sz w:val="22"/>
                  <w:szCs w:val="22"/>
                </w:rPr>
                <w:t>weblink to popcorn</w:t>
              </w:r>
            </w:hyperlink>
          </w:p>
          <w:p w:rsidR="00FD49E2" w:rsidRDefault="00FD49E2" w:rsidP="005908B1">
            <w:pPr>
              <w:rPr>
                <w:rFonts w:asciiTheme="minorHAnsi" w:hAnsiTheme="minorHAnsi"/>
                <w:sz w:val="22"/>
                <w:szCs w:val="22"/>
              </w:rPr>
            </w:pPr>
          </w:p>
          <w:p w:rsidR="00FD49E2" w:rsidRDefault="00307492" w:rsidP="005908B1">
            <w:pPr>
              <w:rPr>
                <w:rStyle w:val="Hyperlink"/>
                <w:rFonts w:asciiTheme="minorHAnsi" w:hAnsiTheme="minorHAnsi"/>
                <w:sz w:val="22"/>
                <w:szCs w:val="22"/>
              </w:rPr>
            </w:pPr>
            <w:hyperlink r:id="rId24" w:history="1">
              <w:r w:rsidR="00FD49E2">
                <w:rPr>
                  <w:rStyle w:val="Hyperlink"/>
                  <w:rFonts w:asciiTheme="minorHAnsi" w:hAnsiTheme="minorHAnsi"/>
                  <w:sz w:val="22"/>
                  <w:szCs w:val="22"/>
                </w:rPr>
                <w:t>hyperlink to perfume bottles</w:t>
              </w:r>
            </w:hyperlink>
          </w:p>
          <w:p w:rsidR="00AD2C1E" w:rsidRDefault="00AD2C1E" w:rsidP="005908B1">
            <w:pPr>
              <w:rPr>
                <w:rStyle w:val="Hyperlink"/>
                <w:rFonts w:asciiTheme="minorHAnsi" w:hAnsiTheme="minorHAnsi"/>
                <w:sz w:val="22"/>
                <w:szCs w:val="22"/>
              </w:rPr>
            </w:pPr>
          </w:p>
          <w:p w:rsidR="00AD2C1E" w:rsidRDefault="00AD2C1E" w:rsidP="005908B1">
            <w:pPr>
              <w:rPr>
                <w:rFonts w:asciiTheme="minorHAnsi" w:hAnsiTheme="minorHAnsi"/>
                <w:sz w:val="22"/>
                <w:szCs w:val="22"/>
              </w:rPr>
            </w:pPr>
            <w:hyperlink r:id="rId25" w:history="1">
              <w:r w:rsidR="00307492">
                <w:rPr>
                  <w:rStyle w:val="Hyperlink"/>
                  <w:rFonts w:asciiTheme="minorHAnsi" w:hAnsiTheme="minorHAnsi"/>
                  <w:sz w:val="22"/>
                  <w:szCs w:val="22"/>
                </w:rPr>
                <w:t>Hyperlink to Jelly beans</w:t>
              </w:r>
            </w:hyperlink>
          </w:p>
          <w:p w:rsidR="00307492" w:rsidRDefault="00307492" w:rsidP="005908B1">
            <w:pPr>
              <w:rPr>
                <w:rFonts w:asciiTheme="minorHAnsi" w:hAnsiTheme="minorHAnsi"/>
                <w:sz w:val="22"/>
                <w:szCs w:val="22"/>
              </w:rPr>
            </w:pPr>
          </w:p>
          <w:p w:rsidR="00307492" w:rsidRPr="00CF7B1D" w:rsidRDefault="00307492" w:rsidP="005908B1">
            <w:pPr>
              <w:rPr>
                <w:rFonts w:asciiTheme="minorHAnsi" w:hAnsiTheme="minorHAnsi"/>
                <w:sz w:val="22"/>
                <w:szCs w:val="22"/>
              </w:rPr>
            </w:pPr>
            <w:hyperlink r:id="rId26" w:history="1">
              <w:r w:rsidRPr="00307492">
                <w:rPr>
                  <w:rStyle w:val="Hyperlink"/>
                  <w:rFonts w:asciiTheme="minorHAnsi" w:hAnsiTheme="minorHAnsi"/>
                  <w:sz w:val="22"/>
                  <w:szCs w:val="22"/>
                </w:rPr>
                <w:t>Hyperlink to volume of cone</w:t>
              </w:r>
            </w:hyperlink>
            <w:bookmarkStart w:id="0" w:name="_GoBack"/>
            <w:bookmarkEnd w:id="0"/>
          </w:p>
        </w:tc>
      </w:tr>
    </w:tbl>
    <w:p w:rsidR="00FD49E2" w:rsidRPr="00923F62" w:rsidRDefault="00FD49E2" w:rsidP="00FD49E2">
      <w:pPr>
        <w:rPr>
          <w:sz w:val="16"/>
          <w:szCs w:val="16"/>
        </w:rPr>
      </w:pPr>
    </w:p>
    <w:p w:rsidR="00FD49E2" w:rsidRDefault="00FD49E2" w:rsidP="00FD49E2">
      <w:pPr>
        <w:spacing w:after="200" w:line="276" w:lineRule="auto"/>
      </w:pPr>
      <w:r>
        <w:br w:type="page"/>
      </w:r>
    </w:p>
    <w:p w:rsidR="00FD49E2" w:rsidRPr="00923F62" w:rsidRDefault="00FD49E2" w:rsidP="00FD49E2">
      <w:pPr>
        <w:pStyle w:val="NoSpacing"/>
        <w:rPr>
          <w:rFonts w:asciiTheme="minorHAnsi" w:hAnsiTheme="minorHAnsi"/>
          <w:color w:val="000000"/>
          <w:sz w:val="22"/>
          <w:szCs w:val="22"/>
        </w:rPr>
      </w:pPr>
      <w:r w:rsidRPr="633275E7">
        <w:rPr>
          <w:rFonts w:asciiTheme="minorHAnsi" w:eastAsiaTheme="minorEastAsia" w:hAnsiTheme="minorHAnsi" w:cstheme="minorBidi"/>
          <w:b/>
          <w:bCs/>
          <w:sz w:val="22"/>
          <w:szCs w:val="22"/>
        </w:rPr>
        <w:lastRenderedPageBreak/>
        <w:t>Instructional resources</w:t>
      </w:r>
      <w:r w:rsidRPr="633275E7">
        <w:rPr>
          <w:rFonts w:asciiTheme="minorHAnsi" w:eastAsiaTheme="minorEastAsia" w:hAnsiTheme="minorHAnsi" w:cstheme="minorBidi"/>
          <w:sz w:val="22"/>
          <w:szCs w:val="22"/>
        </w:rPr>
        <w:t xml:space="preserve"> (including manipulatives, literature connections, professional resources)</w:t>
      </w:r>
    </w:p>
    <w:p w:rsidR="00FD49E2" w:rsidRDefault="00FD49E2" w:rsidP="00FD49E2">
      <w:pPr>
        <w:pStyle w:val="NoSpacing"/>
        <w:rPr>
          <w:rFonts w:asciiTheme="minorHAnsi" w:hAnsiTheme="minorHAnsi"/>
          <w:sz w:val="22"/>
          <w:szCs w:val="22"/>
        </w:rPr>
      </w:pPr>
    </w:p>
    <w:p w:rsidR="00FD49E2" w:rsidRDefault="00FD49E2" w:rsidP="00FD49E2">
      <w:pPr>
        <w:pStyle w:val="NoSpacing"/>
        <w:rPr>
          <w:rFonts w:asciiTheme="minorHAnsi" w:hAnsiTheme="minorHAnsi"/>
          <w:sz w:val="22"/>
          <w:szCs w:val="22"/>
        </w:rPr>
      </w:pPr>
      <w:r>
        <w:rPr>
          <w:rFonts w:asciiTheme="minorHAnsi" w:eastAsiaTheme="minorEastAsia" w:hAnsiTheme="minorHAnsi" w:cstheme="minorBidi"/>
          <w:sz w:val="22"/>
          <w:szCs w:val="22"/>
        </w:rPr>
        <w:t>7.G.4</w:t>
      </w:r>
    </w:p>
    <w:p w:rsidR="00FD49E2" w:rsidRDefault="00FD49E2" w:rsidP="00FD49E2">
      <w:pPr>
        <w:pStyle w:val="NoSpacing"/>
        <w:numPr>
          <w:ilvl w:val="0"/>
          <w:numId w:val="1"/>
        </w:numPr>
        <w:ind w:left="720"/>
        <w:rPr>
          <w:rFonts w:asciiTheme="minorHAnsi" w:hAnsiTheme="minorHAnsi"/>
          <w:sz w:val="22"/>
          <w:szCs w:val="22"/>
        </w:rPr>
      </w:pPr>
    </w:p>
    <w:p w:rsidR="00FD49E2" w:rsidRDefault="00FD49E2" w:rsidP="00FD49E2">
      <w:pPr>
        <w:pStyle w:val="NoSpacing"/>
        <w:rPr>
          <w:rFonts w:asciiTheme="minorHAnsi" w:hAnsiTheme="minorHAnsi"/>
          <w:sz w:val="22"/>
          <w:szCs w:val="22"/>
        </w:rPr>
      </w:pPr>
      <w:r>
        <w:rPr>
          <w:rFonts w:asciiTheme="minorHAnsi" w:eastAsiaTheme="minorEastAsia" w:hAnsiTheme="minorHAnsi" w:cstheme="minorBidi"/>
          <w:sz w:val="22"/>
          <w:szCs w:val="22"/>
        </w:rPr>
        <w:t>7.G.6</w:t>
      </w:r>
    </w:p>
    <w:p w:rsidR="00FD49E2" w:rsidRDefault="00FD49E2" w:rsidP="00FD49E2">
      <w:pPr>
        <w:pStyle w:val="NoSpacing"/>
        <w:numPr>
          <w:ilvl w:val="0"/>
          <w:numId w:val="1"/>
        </w:numPr>
        <w:ind w:left="720"/>
        <w:rPr>
          <w:rFonts w:asciiTheme="minorHAnsi" w:hAnsiTheme="minorHAnsi"/>
          <w:sz w:val="22"/>
          <w:szCs w:val="22"/>
        </w:rPr>
      </w:pPr>
    </w:p>
    <w:p w:rsidR="00FD49E2" w:rsidRDefault="00FD49E2" w:rsidP="00FD49E2">
      <w:pPr>
        <w:pStyle w:val="NoSpacing"/>
        <w:rPr>
          <w:rFonts w:asciiTheme="minorHAnsi" w:hAnsiTheme="minorHAnsi"/>
          <w:sz w:val="22"/>
          <w:szCs w:val="22"/>
        </w:rPr>
      </w:pPr>
      <w:r>
        <w:rPr>
          <w:rFonts w:asciiTheme="minorHAnsi" w:eastAsiaTheme="minorEastAsia" w:hAnsiTheme="minorHAnsi" w:cstheme="minorBidi"/>
          <w:sz w:val="22"/>
          <w:szCs w:val="22"/>
        </w:rPr>
        <w:t>8.G.9</w:t>
      </w:r>
    </w:p>
    <w:p w:rsidR="00FD49E2" w:rsidRDefault="00FD49E2" w:rsidP="00FD49E2">
      <w:pPr>
        <w:pStyle w:val="NoSpacing"/>
        <w:numPr>
          <w:ilvl w:val="0"/>
          <w:numId w:val="1"/>
        </w:numPr>
        <w:ind w:left="720"/>
        <w:rPr>
          <w:rFonts w:asciiTheme="minorHAnsi" w:hAnsiTheme="minorHAnsi"/>
          <w:sz w:val="22"/>
          <w:szCs w:val="22"/>
        </w:rPr>
      </w:pPr>
    </w:p>
    <w:p w:rsidR="007C41E3" w:rsidRDefault="007C41E3"/>
    <w:sectPr w:rsidR="007C41E3" w:rsidSect="00D2791D">
      <w:headerReference w:type="default" r:id="rId27"/>
      <w:footerReference w:type="default" r:id="rId28"/>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07492">
      <w:r>
        <w:separator/>
      </w:r>
    </w:p>
  </w:endnote>
  <w:endnote w:type="continuationSeparator" w:id="0">
    <w:p w:rsidR="00000000" w:rsidRDefault="0030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Oblique">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3" w:rsidRPr="0035516D" w:rsidRDefault="00FD49E2" w:rsidP="00270B4B">
    <w:pPr>
      <w:pStyle w:val="Footer"/>
      <w:jc w:val="center"/>
      <w:rPr>
        <w:rFonts w:asciiTheme="minorHAnsi" w:hAnsiTheme="minorHAnsi"/>
        <w:sz w:val="18"/>
        <w:szCs w:val="18"/>
      </w:rPr>
    </w:pPr>
    <w:r w:rsidRPr="633275E7">
      <w:rPr>
        <w:rFonts w:asciiTheme="minorHAnsi" w:eastAsiaTheme="minorEastAsia" w:hAnsiTheme="minorHAnsi" w:cstheme="minorBidi"/>
        <w:sz w:val="18"/>
        <w:szCs w:val="18"/>
      </w:rPr>
      <w:t xml:space="preserve">Unit6: Volume, Page </w:t>
    </w:r>
    <w:sdt>
      <w:sdtPr>
        <w:rPr>
          <w:rFonts w:asciiTheme="minorHAnsi" w:hAnsiTheme="minorHAnsi"/>
          <w:sz w:val="18"/>
          <w:szCs w:val="18"/>
        </w:rPr>
        <w:id w:val="5385017"/>
        <w:docPartObj>
          <w:docPartGallery w:val="Page Numbers (Bottom of Page)"/>
          <w:docPartUnique/>
        </w:docPartObj>
      </w:sdtPr>
      <w:sdtEndPr/>
      <w:sdtContent>
        <w:r w:rsidRPr="00F55A5D">
          <w:rPr>
            <w:rFonts w:asciiTheme="minorHAnsi" w:hAnsiTheme="minorHAnsi"/>
            <w:sz w:val="18"/>
            <w:szCs w:val="18"/>
          </w:rPr>
          <w:fldChar w:fldCharType="begin"/>
        </w:r>
        <w:r w:rsidRPr="00F55A5D">
          <w:rPr>
            <w:rFonts w:asciiTheme="minorHAnsi" w:hAnsiTheme="minorHAnsi"/>
            <w:sz w:val="18"/>
            <w:szCs w:val="18"/>
          </w:rPr>
          <w:instrText xml:space="preserve"> PAGE   \* MERGEFORMAT </w:instrText>
        </w:r>
        <w:r w:rsidRPr="00F55A5D">
          <w:rPr>
            <w:rFonts w:asciiTheme="minorHAnsi" w:hAnsiTheme="minorHAnsi"/>
            <w:sz w:val="18"/>
            <w:szCs w:val="18"/>
          </w:rPr>
          <w:fldChar w:fldCharType="separate"/>
        </w:r>
        <w:r w:rsidR="00307492">
          <w:rPr>
            <w:rFonts w:asciiTheme="minorHAnsi" w:hAnsiTheme="minorHAnsi"/>
            <w:noProof/>
            <w:sz w:val="18"/>
            <w:szCs w:val="18"/>
          </w:rPr>
          <w:t>5</w:t>
        </w:r>
        <w:r w:rsidRPr="00F55A5D">
          <w:rPr>
            <w:rFonts w:asciiTheme="minorHAnsi" w:hAnsiTheme="minorHAnsi"/>
            <w:sz w:val="18"/>
            <w:szCs w:val="18"/>
          </w:rPr>
          <w:fldChar w:fldCharType="end"/>
        </w:r>
      </w:sdtContent>
    </w:sdt>
  </w:p>
  <w:p w:rsidR="00B36B13" w:rsidRPr="0031344C" w:rsidRDefault="00307492" w:rsidP="00DB1316">
    <w:pPr>
      <w:pStyle w:val="Footer"/>
      <w:tabs>
        <w:tab w:val="clear" w:pos="8640"/>
        <w:tab w:val="right" w:pos="10780"/>
      </w:tabs>
      <w:jc w:val="both"/>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07492">
      <w:r>
        <w:separator/>
      </w:r>
    </w:p>
  </w:footnote>
  <w:footnote w:type="continuationSeparator" w:id="0">
    <w:p w:rsidR="00000000" w:rsidRDefault="00307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3" w:rsidRPr="002952F3" w:rsidRDefault="00FD49E2" w:rsidP="00EF6F96">
    <w:pPr>
      <w:jc w:val="center"/>
      <w:rPr>
        <w:rFonts w:asciiTheme="minorHAnsi" w:hAnsiTheme="minorHAnsi"/>
        <w:b/>
        <w:sz w:val="32"/>
        <w:szCs w:val="32"/>
      </w:rPr>
    </w:pPr>
    <w:r w:rsidRPr="633275E7">
      <w:rPr>
        <w:rFonts w:asciiTheme="minorHAnsi" w:eastAsiaTheme="minorEastAsia" w:hAnsiTheme="minorHAnsi" w:cstheme="minorBidi"/>
        <w:b/>
        <w:bCs/>
        <w:sz w:val="32"/>
        <w:szCs w:val="32"/>
      </w:rPr>
      <w:t>Regional School District 17 Mathematics Unit Plan</w:t>
    </w:r>
  </w:p>
  <w:p w:rsidR="00B50CF8" w:rsidRPr="002952F3" w:rsidRDefault="00FD49E2" w:rsidP="002952F3">
    <w:pPr>
      <w:jc w:val="center"/>
      <w:rPr>
        <w:rFonts w:asciiTheme="minorHAnsi" w:hAnsiTheme="minorHAnsi"/>
        <w:b/>
        <w:sz w:val="32"/>
        <w:szCs w:val="32"/>
      </w:rPr>
    </w:pPr>
    <w:r>
      <w:rPr>
        <w:rFonts w:asciiTheme="minorHAnsi" w:eastAsiaTheme="minorEastAsia" w:hAnsiTheme="minorHAnsi" w:cstheme="minorBidi"/>
        <w:b/>
        <w:bCs/>
        <w:sz w:val="32"/>
        <w:szCs w:val="32"/>
      </w:rPr>
      <w:t>Grade 8</w:t>
    </w:r>
    <w:r w:rsidRPr="633275E7">
      <w:rPr>
        <w:rFonts w:asciiTheme="minorHAnsi" w:eastAsiaTheme="minorEastAsia" w:hAnsiTheme="minorHAnsi" w:cstheme="minorBidi"/>
        <w:b/>
        <w:bCs/>
        <w:sz w:val="32"/>
        <w:szCs w:val="32"/>
      </w:rPr>
      <w:t>: Unit 6 Volume</w:t>
    </w:r>
    <w:r>
      <w:rPr>
        <w:rFonts w:asciiTheme="minorHAnsi" w:eastAsiaTheme="minorEastAsia" w:hAnsiTheme="minorHAnsi" w:cstheme="minorBidi"/>
        <w:b/>
        <w:bCs/>
        <w:sz w:val="22"/>
        <w:szCs w:val="22"/>
      </w:rPr>
      <w:t xml:space="preserve">    </w:t>
    </w:r>
    <w:r w:rsidR="00AD2C1E">
      <w:rPr>
        <w:rFonts w:asciiTheme="minorHAnsi" w:eastAsiaTheme="minorEastAsia" w:hAnsiTheme="minorHAnsi" w:cstheme="minorBidi"/>
        <w:sz w:val="22"/>
        <w:szCs w:val="22"/>
      </w:rPr>
      <w:t>5/20</w:t>
    </w:r>
    <w:r>
      <w:rPr>
        <w:rFonts w:asciiTheme="minorHAnsi" w:eastAsiaTheme="minorEastAsia" w:hAnsiTheme="minorHAnsi" w:cstheme="minorBidi"/>
        <w:sz w:val="22"/>
        <w:szCs w:val="22"/>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3BE"/>
    <w:multiLevelType w:val="hybridMultilevel"/>
    <w:tmpl w:val="5C882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E7538"/>
    <w:multiLevelType w:val="hybridMultilevel"/>
    <w:tmpl w:val="DF2E94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Obliqu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Oblique"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624B03"/>
    <w:multiLevelType w:val="hybridMultilevel"/>
    <w:tmpl w:val="024EA4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E2"/>
    <w:rsid w:val="00001D02"/>
    <w:rsid w:val="000050B4"/>
    <w:rsid w:val="0000523C"/>
    <w:rsid w:val="000061D9"/>
    <w:rsid w:val="000115CF"/>
    <w:rsid w:val="000161BD"/>
    <w:rsid w:val="00032489"/>
    <w:rsid w:val="0003443C"/>
    <w:rsid w:val="0003543A"/>
    <w:rsid w:val="000364B4"/>
    <w:rsid w:val="0003796E"/>
    <w:rsid w:val="00042783"/>
    <w:rsid w:val="000430AA"/>
    <w:rsid w:val="000453B6"/>
    <w:rsid w:val="00046CF9"/>
    <w:rsid w:val="000553DA"/>
    <w:rsid w:val="00062818"/>
    <w:rsid w:val="00063167"/>
    <w:rsid w:val="000632B7"/>
    <w:rsid w:val="000644AB"/>
    <w:rsid w:val="00071020"/>
    <w:rsid w:val="00071C30"/>
    <w:rsid w:val="0007265D"/>
    <w:rsid w:val="0007490B"/>
    <w:rsid w:val="00087ED2"/>
    <w:rsid w:val="00097FDD"/>
    <w:rsid w:val="000A01B7"/>
    <w:rsid w:val="000A6421"/>
    <w:rsid w:val="000A6514"/>
    <w:rsid w:val="000B50C0"/>
    <w:rsid w:val="000B5DEA"/>
    <w:rsid w:val="000B7DA1"/>
    <w:rsid w:val="000C023D"/>
    <w:rsid w:val="000C065B"/>
    <w:rsid w:val="000C0A24"/>
    <w:rsid w:val="000C0AA0"/>
    <w:rsid w:val="000C4CDE"/>
    <w:rsid w:val="000C548A"/>
    <w:rsid w:val="000C70E3"/>
    <w:rsid w:val="000D6B5E"/>
    <w:rsid w:val="000E27C9"/>
    <w:rsid w:val="000E32FA"/>
    <w:rsid w:val="000E56D2"/>
    <w:rsid w:val="000F2D47"/>
    <w:rsid w:val="00100A81"/>
    <w:rsid w:val="0010171D"/>
    <w:rsid w:val="00102252"/>
    <w:rsid w:val="00102D40"/>
    <w:rsid w:val="00106693"/>
    <w:rsid w:val="001110F3"/>
    <w:rsid w:val="0011122B"/>
    <w:rsid w:val="00111452"/>
    <w:rsid w:val="00114B4C"/>
    <w:rsid w:val="001173E9"/>
    <w:rsid w:val="001204A4"/>
    <w:rsid w:val="00123B54"/>
    <w:rsid w:val="00125E79"/>
    <w:rsid w:val="00126140"/>
    <w:rsid w:val="001356AF"/>
    <w:rsid w:val="00142373"/>
    <w:rsid w:val="001431D4"/>
    <w:rsid w:val="001463A0"/>
    <w:rsid w:val="00146A42"/>
    <w:rsid w:val="00147FC5"/>
    <w:rsid w:val="00154CA0"/>
    <w:rsid w:val="001661BC"/>
    <w:rsid w:val="00190EE8"/>
    <w:rsid w:val="001925C8"/>
    <w:rsid w:val="001A54F1"/>
    <w:rsid w:val="001A7185"/>
    <w:rsid w:val="001B201C"/>
    <w:rsid w:val="001B51DD"/>
    <w:rsid w:val="001E01E1"/>
    <w:rsid w:val="001E161A"/>
    <w:rsid w:val="001E2709"/>
    <w:rsid w:val="001F122E"/>
    <w:rsid w:val="002005AD"/>
    <w:rsid w:val="002005F9"/>
    <w:rsid w:val="00213B1B"/>
    <w:rsid w:val="00216E0E"/>
    <w:rsid w:val="002171B5"/>
    <w:rsid w:val="002172E0"/>
    <w:rsid w:val="0022010D"/>
    <w:rsid w:val="00226588"/>
    <w:rsid w:val="00231C5B"/>
    <w:rsid w:val="00244CC7"/>
    <w:rsid w:val="002478B0"/>
    <w:rsid w:val="002511E9"/>
    <w:rsid w:val="00256334"/>
    <w:rsid w:val="00267173"/>
    <w:rsid w:val="002673FA"/>
    <w:rsid w:val="002701FC"/>
    <w:rsid w:val="00281B43"/>
    <w:rsid w:val="002A25EF"/>
    <w:rsid w:val="002A4781"/>
    <w:rsid w:val="002A7B4B"/>
    <w:rsid w:val="002B0F16"/>
    <w:rsid w:val="002B52AA"/>
    <w:rsid w:val="002C7231"/>
    <w:rsid w:val="002D6883"/>
    <w:rsid w:val="002D6FA7"/>
    <w:rsid w:val="002E0E9D"/>
    <w:rsid w:val="002E18B5"/>
    <w:rsid w:val="002E37D5"/>
    <w:rsid w:val="002F1624"/>
    <w:rsid w:val="002F18CC"/>
    <w:rsid w:val="002F34A2"/>
    <w:rsid w:val="003064BC"/>
    <w:rsid w:val="00307492"/>
    <w:rsid w:val="00307B7E"/>
    <w:rsid w:val="00307D18"/>
    <w:rsid w:val="00307E0E"/>
    <w:rsid w:val="00315883"/>
    <w:rsid w:val="0033272F"/>
    <w:rsid w:val="0033614C"/>
    <w:rsid w:val="00340450"/>
    <w:rsid w:val="00344770"/>
    <w:rsid w:val="003617BF"/>
    <w:rsid w:val="00367172"/>
    <w:rsid w:val="0037120F"/>
    <w:rsid w:val="003712E0"/>
    <w:rsid w:val="0037755B"/>
    <w:rsid w:val="00377854"/>
    <w:rsid w:val="00385498"/>
    <w:rsid w:val="003856DF"/>
    <w:rsid w:val="003A0425"/>
    <w:rsid w:val="003A2964"/>
    <w:rsid w:val="003B171E"/>
    <w:rsid w:val="003B4359"/>
    <w:rsid w:val="003B4913"/>
    <w:rsid w:val="003B5DC5"/>
    <w:rsid w:val="003C07BC"/>
    <w:rsid w:val="003C1741"/>
    <w:rsid w:val="003C1CC1"/>
    <w:rsid w:val="003C7BAD"/>
    <w:rsid w:val="003E29D4"/>
    <w:rsid w:val="003E413F"/>
    <w:rsid w:val="003E7A6E"/>
    <w:rsid w:val="00400893"/>
    <w:rsid w:val="00401A9C"/>
    <w:rsid w:val="00405B35"/>
    <w:rsid w:val="004138C5"/>
    <w:rsid w:val="00420972"/>
    <w:rsid w:val="004248AF"/>
    <w:rsid w:val="00441040"/>
    <w:rsid w:val="00441CAC"/>
    <w:rsid w:val="00444E16"/>
    <w:rsid w:val="00445F73"/>
    <w:rsid w:val="004467D9"/>
    <w:rsid w:val="0045106B"/>
    <w:rsid w:val="00453363"/>
    <w:rsid w:val="004644F8"/>
    <w:rsid w:val="00464CFA"/>
    <w:rsid w:val="0046529B"/>
    <w:rsid w:val="0047005F"/>
    <w:rsid w:val="00481D24"/>
    <w:rsid w:val="004841C9"/>
    <w:rsid w:val="0049101F"/>
    <w:rsid w:val="00495DB9"/>
    <w:rsid w:val="004973C9"/>
    <w:rsid w:val="004B0B55"/>
    <w:rsid w:val="004B20A6"/>
    <w:rsid w:val="004C70F7"/>
    <w:rsid w:val="004D3152"/>
    <w:rsid w:val="004D7E2F"/>
    <w:rsid w:val="004F157A"/>
    <w:rsid w:val="004F2659"/>
    <w:rsid w:val="004F5E04"/>
    <w:rsid w:val="0050587E"/>
    <w:rsid w:val="00523D0A"/>
    <w:rsid w:val="00525399"/>
    <w:rsid w:val="00533530"/>
    <w:rsid w:val="00535930"/>
    <w:rsid w:val="00536F05"/>
    <w:rsid w:val="00550A3C"/>
    <w:rsid w:val="00552A92"/>
    <w:rsid w:val="005534E9"/>
    <w:rsid w:val="00556DBA"/>
    <w:rsid w:val="005603F6"/>
    <w:rsid w:val="00560B17"/>
    <w:rsid w:val="005628C7"/>
    <w:rsid w:val="00563384"/>
    <w:rsid w:val="0056523A"/>
    <w:rsid w:val="0056782B"/>
    <w:rsid w:val="0057108A"/>
    <w:rsid w:val="005808E6"/>
    <w:rsid w:val="005813C1"/>
    <w:rsid w:val="0058148D"/>
    <w:rsid w:val="0058534C"/>
    <w:rsid w:val="0058773C"/>
    <w:rsid w:val="005906E6"/>
    <w:rsid w:val="0059071A"/>
    <w:rsid w:val="00591DB7"/>
    <w:rsid w:val="005A19B5"/>
    <w:rsid w:val="005A7E65"/>
    <w:rsid w:val="005B27CD"/>
    <w:rsid w:val="005C78BB"/>
    <w:rsid w:val="005D0E2F"/>
    <w:rsid w:val="005D107D"/>
    <w:rsid w:val="005D363E"/>
    <w:rsid w:val="005D7800"/>
    <w:rsid w:val="005E1AB3"/>
    <w:rsid w:val="005E2263"/>
    <w:rsid w:val="005E679E"/>
    <w:rsid w:val="005F126B"/>
    <w:rsid w:val="0060435A"/>
    <w:rsid w:val="00605D6C"/>
    <w:rsid w:val="00610271"/>
    <w:rsid w:val="00611FD1"/>
    <w:rsid w:val="00613CAE"/>
    <w:rsid w:val="00616119"/>
    <w:rsid w:val="00620294"/>
    <w:rsid w:val="00627938"/>
    <w:rsid w:val="0063014D"/>
    <w:rsid w:val="00630496"/>
    <w:rsid w:val="006341BC"/>
    <w:rsid w:val="006341CA"/>
    <w:rsid w:val="006353EC"/>
    <w:rsid w:val="00641AFA"/>
    <w:rsid w:val="0064311A"/>
    <w:rsid w:val="006434E2"/>
    <w:rsid w:val="00646BBF"/>
    <w:rsid w:val="00647B7A"/>
    <w:rsid w:val="00652200"/>
    <w:rsid w:val="00652824"/>
    <w:rsid w:val="00654896"/>
    <w:rsid w:val="00656832"/>
    <w:rsid w:val="0066299A"/>
    <w:rsid w:val="00664BC6"/>
    <w:rsid w:val="00667056"/>
    <w:rsid w:val="006674B3"/>
    <w:rsid w:val="00674C69"/>
    <w:rsid w:val="0068134A"/>
    <w:rsid w:val="006A0563"/>
    <w:rsid w:val="006A3B31"/>
    <w:rsid w:val="006B4F9E"/>
    <w:rsid w:val="006C0CB8"/>
    <w:rsid w:val="006C2E92"/>
    <w:rsid w:val="006D0CE6"/>
    <w:rsid w:val="006D2276"/>
    <w:rsid w:val="006D4130"/>
    <w:rsid w:val="006D5611"/>
    <w:rsid w:val="006E219E"/>
    <w:rsid w:val="006E377E"/>
    <w:rsid w:val="006E6752"/>
    <w:rsid w:val="006E7505"/>
    <w:rsid w:val="006F4DD3"/>
    <w:rsid w:val="006F5253"/>
    <w:rsid w:val="0070314F"/>
    <w:rsid w:val="007041C8"/>
    <w:rsid w:val="00714865"/>
    <w:rsid w:val="00714C82"/>
    <w:rsid w:val="00716543"/>
    <w:rsid w:val="0072251A"/>
    <w:rsid w:val="007236F1"/>
    <w:rsid w:val="00736E03"/>
    <w:rsid w:val="00742EAA"/>
    <w:rsid w:val="00745927"/>
    <w:rsid w:val="0074792D"/>
    <w:rsid w:val="007523B7"/>
    <w:rsid w:val="00753881"/>
    <w:rsid w:val="00761E45"/>
    <w:rsid w:val="007633C3"/>
    <w:rsid w:val="00773CF4"/>
    <w:rsid w:val="007840E6"/>
    <w:rsid w:val="00791AED"/>
    <w:rsid w:val="007939AE"/>
    <w:rsid w:val="007945CC"/>
    <w:rsid w:val="00796175"/>
    <w:rsid w:val="007A061A"/>
    <w:rsid w:val="007B2902"/>
    <w:rsid w:val="007C023E"/>
    <w:rsid w:val="007C2504"/>
    <w:rsid w:val="007C41E3"/>
    <w:rsid w:val="007C4352"/>
    <w:rsid w:val="007C47F0"/>
    <w:rsid w:val="007D0518"/>
    <w:rsid w:val="007D1DB6"/>
    <w:rsid w:val="007D2502"/>
    <w:rsid w:val="007D279A"/>
    <w:rsid w:val="007D2D6B"/>
    <w:rsid w:val="007D6C6E"/>
    <w:rsid w:val="007E5D17"/>
    <w:rsid w:val="00800345"/>
    <w:rsid w:val="0080231D"/>
    <w:rsid w:val="00803139"/>
    <w:rsid w:val="00805780"/>
    <w:rsid w:val="00816002"/>
    <w:rsid w:val="008276A6"/>
    <w:rsid w:val="00830D4B"/>
    <w:rsid w:val="00832E7E"/>
    <w:rsid w:val="00840B2F"/>
    <w:rsid w:val="00840E0E"/>
    <w:rsid w:val="00846178"/>
    <w:rsid w:val="0085072F"/>
    <w:rsid w:val="00855A1E"/>
    <w:rsid w:val="00864026"/>
    <w:rsid w:val="008655ED"/>
    <w:rsid w:val="0087264C"/>
    <w:rsid w:val="00877F5A"/>
    <w:rsid w:val="00883F3A"/>
    <w:rsid w:val="00885438"/>
    <w:rsid w:val="00897AB7"/>
    <w:rsid w:val="008A1000"/>
    <w:rsid w:val="008A21A4"/>
    <w:rsid w:val="008A625B"/>
    <w:rsid w:val="008B55CE"/>
    <w:rsid w:val="008B5C50"/>
    <w:rsid w:val="008B6EA1"/>
    <w:rsid w:val="008C0AF8"/>
    <w:rsid w:val="008C4BD8"/>
    <w:rsid w:val="008D4124"/>
    <w:rsid w:val="008E1974"/>
    <w:rsid w:val="008E6647"/>
    <w:rsid w:val="008F1107"/>
    <w:rsid w:val="008F1AE0"/>
    <w:rsid w:val="008F3355"/>
    <w:rsid w:val="008F37F1"/>
    <w:rsid w:val="008F4016"/>
    <w:rsid w:val="00900357"/>
    <w:rsid w:val="00900A60"/>
    <w:rsid w:val="00903187"/>
    <w:rsid w:val="00903925"/>
    <w:rsid w:val="00903EBA"/>
    <w:rsid w:val="009140D3"/>
    <w:rsid w:val="00920AE0"/>
    <w:rsid w:val="0094210B"/>
    <w:rsid w:val="00944006"/>
    <w:rsid w:val="00956D2C"/>
    <w:rsid w:val="009572D2"/>
    <w:rsid w:val="009666CD"/>
    <w:rsid w:val="00975B0C"/>
    <w:rsid w:val="00977379"/>
    <w:rsid w:val="00981BB3"/>
    <w:rsid w:val="009845C7"/>
    <w:rsid w:val="00990010"/>
    <w:rsid w:val="009907A4"/>
    <w:rsid w:val="009924B5"/>
    <w:rsid w:val="00995153"/>
    <w:rsid w:val="009A143C"/>
    <w:rsid w:val="009A1629"/>
    <w:rsid w:val="009A2738"/>
    <w:rsid w:val="009A2FBE"/>
    <w:rsid w:val="009B27C2"/>
    <w:rsid w:val="009B73AD"/>
    <w:rsid w:val="009B77AA"/>
    <w:rsid w:val="009D3E0D"/>
    <w:rsid w:val="009E1CC1"/>
    <w:rsid w:val="009E23EA"/>
    <w:rsid w:val="009E2C05"/>
    <w:rsid w:val="009E2D73"/>
    <w:rsid w:val="009F17AB"/>
    <w:rsid w:val="009F5EE1"/>
    <w:rsid w:val="009F6EFE"/>
    <w:rsid w:val="00A00732"/>
    <w:rsid w:val="00A01992"/>
    <w:rsid w:val="00A038FC"/>
    <w:rsid w:val="00A05A04"/>
    <w:rsid w:val="00A106A9"/>
    <w:rsid w:val="00A11263"/>
    <w:rsid w:val="00A11BED"/>
    <w:rsid w:val="00A13476"/>
    <w:rsid w:val="00A141B0"/>
    <w:rsid w:val="00A1778D"/>
    <w:rsid w:val="00A231FA"/>
    <w:rsid w:val="00A343CD"/>
    <w:rsid w:val="00A354CE"/>
    <w:rsid w:val="00A368C3"/>
    <w:rsid w:val="00A37B38"/>
    <w:rsid w:val="00A41A0B"/>
    <w:rsid w:val="00A46F00"/>
    <w:rsid w:val="00A53EF4"/>
    <w:rsid w:val="00A64456"/>
    <w:rsid w:val="00A75CEE"/>
    <w:rsid w:val="00A900CB"/>
    <w:rsid w:val="00AA139F"/>
    <w:rsid w:val="00AA2E38"/>
    <w:rsid w:val="00AA3231"/>
    <w:rsid w:val="00AA71B3"/>
    <w:rsid w:val="00AC0A9A"/>
    <w:rsid w:val="00AC0C3F"/>
    <w:rsid w:val="00AC1F6C"/>
    <w:rsid w:val="00AC52E2"/>
    <w:rsid w:val="00AC5CE7"/>
    <w:rsid w:val="00AC6A44"/>
    <w:rsid w:val="00AC79DD"/>
    <w:rsid w:val="00AD2C1E"/>
    <w:rsid w:val="00AD30E8"/>
    <w:rsid w:val="00AD75A4"/>
    <w:rsid w:val="00AD7707"/>
    <w:rsid w:val="00AE4244"/>
    <w:rsid w:val="00AE75CB"/>
    <w:rsid w:val="00AF4175"/>
    <w:rsid w:val="00AF7413"/>
    <w:rsid w:val="00B030F5"/>
    <w:rsid w:val="00B061C1"/>
    <w:rsid w:val="00B12D96"/>
    <w:rsid w:val="00B1362A"/>
    <w:rsid w:val="00B15906"/>
    <w:rsid w:val="00B16AD8"/>
    <w:rsid w:val="00B17CC1"/>
    <w:rsid w:val="00B22E5E"/>
    <w:rsid w:val="00B27430"/>
    <w:rsid w:val="00B27C1F"/>
    <w:rsid w:val="00B30741"/>
    <w:rsid w:val="00B34555"/>
    <w:rsid w:val="00B3717F"/>
    <w:rsid w:val="00B4106F"/>
    <w:rsid w:val="00B45EE6"/>
    <w:rsid w:val="00B45F36"/>
    <w:rsid w:val="00B5485B"/>
    <w:rsid w:val="00B54D64"/>
    <w:rsid w:val="00B55C6B"/>
    <w:rsid w:val="00B64EE2"/>
    <w:rsid w:val="00B65054"/>
    <w:rsid w:val="00B66A9A"/>
    <w:rsid w:val="00B72C23"/>
    <w:rsid w:val="00B72D51"/>
    <w:rsid w:val="00B73739"/>
    <w:rsid w:val="00B74E70"/>
    <w:rsid w:val="00B77433"/>
    <w:rsid w:val="00B77DAC"/>
    <w:rsid w:val="00B80133"/>
    <w:rsid w:val="00B87F3C"/>
    <w:rsid w:val="00B9068B"/>
    <w:rsid w:val="00B949AF"/>
    <w:rsid w:val="00B951F8"/>
    <w:rsid w:val="00B97B08"/>
    <w:rsid w:val="00BA2C62"/>
    <w:rsid w:val="00BA5F2E"/>
    <w:rsid w:val="00BB03F2"/>
    <w:rsid w:val="00BB22BA"/>
    <w:rsid w:val="00BB2679"/>
    <w:rsid w:val="00BB2BE5"/>
    <w:rsid w:val="00BB7196"/>
    <w:rsid w:val="00BC01A4"/>
    <w:rsid w:val="00BD2EFF"/>
    <w:rsid w:val="00BD2F55"/>
    <w:rsid w:val="00BD650D"/>
    <w:rsid w:val="00BE0B85"/>
    <w:rsid w:val="00BE199A"/>
    <w:rsid w:val="00BF65F8"/>
    <w:rsid w:val="00C01B8E"/>
    <w:rsid w:val="00C0728B"/>
    <w:rsid w:val="00C11FE7"/>
    <w:rsid w:val="00C158AA"/>
    <w:rsid w:val="00C249E2"/>
    <w:rsid w:val="00C4763F"/>
    <w:rsid w:val="00C51C1F"/>
    <w:rsid w:val="00C51ED0"/>
    <w:rsid w:val="00C522EE"/>
    <w:rsid w:val="00C63D3A"/>
    <w:rsid w:val="00C64585"/>
    <w:rsid w:val="00C6727B"/>
    <w:rsid w:val="00C77E1F"/>
    <w:rsid w:val="00C81813"/>
    <w:rsid w:val="00C83998"/>
    <w:rsid w:val="00CA051B"/>
    <w:rsid w:val="00CA1CA2"/>
    <w:rsid w:val="00CB05E1"/>
    <w:rsid w:val="00CB2CCB"/>
    <w:rsid w:val="00CB62B7"/>
    <w:rsid w:val="00CB6892"/>
    <w:rsid w:val="00CC1954"/>
    <w:rsid w:val="00CC19B6"/>
    <w:rsid w:val="00CC65BC"/>
    <w:rsid w:val="00CC6805"/>
    <w:rsid w:val="00CD4463"/>
    <w:rsid w:val="00CD5435"/>
    <w:rsid w:val="00CD604E"/>
    <w:rsid w:val="00CD6A15"/>
    <w:rsid w:val="00CE2071"/>
    <w:rsid w:val="00CF6016"/>
    <w:rsid w:val="00D06E28"/>
    <w:rsid w:val="00D11C45"/>
    <w:rsid w:val="00D17150"/>
    <w:rsid w:val="00D371E1"/>
    <w:rsid w:val="00D372CD"/>
    <w:rsid w:val="00D4064A"/>
    <w:rsid w:val="00D412F6"/>
    <w:rsid w:val="00D43E82"/>
    <w:rsid w:val="00D44A00"/>
    <w:rsid w:val="00D52799"/>
    <w:rsid w:val="00D52999"/>
    <w:rsid w:val="00D542DB"/>
    <w:rsid w:val="00D547E8"/>
    <w:rsid w:val="00D55352"/>
    <w:rsid w:val="00D574A3"/>
    <w:rsid w:val="00D605E0"/>
    <w:rsid w:val="00D7060F"/>
    <w:rsid w:val="00D75125"/>
    <w:rsid w:val="00D77636"/>
    <w:rsid w:val="00D81355"/>
    <w:rsid w:val="00D8305F"/>
    <w:rsid w:val="00D83F3A"/>
    <w:rsid w:val="00DA1437"/>
    <w:rsid w:val="00DB1D00"/>
    <w:rsid w:val="00DC33B0"/>
    <w:rsid w:val="00DC6FF2"/>
    <w:rsid w:val="00DD0B0C"/>
    <w:rsid w:val="00DD1240"/>
    <w:rsid w:val="00DD29D8"/>
    <w:rsid w:val="00DE09D7"/>
    <w:rsid w:val="00DE3744"/>
    <w:rsid w:val="00DE6381"/>
    <w:rsid w:val="00DF52E5"/>
    <w:rsid w:val="00DF6496"/>
    <w:rsid w:val="00E01952"/>
    <w:rsid w:val="00E01CDB"/>
    <w:rsid w:val="00E0349D"/>
    <w:rsid w:val="00E063B6"/>
    <w:rsid w:val="00E32B39"/>
    <w:rsid w:val="00E3652C"/>
    <w:rsid w:val="00E404A8"/>
    <w:rsid w:val="00E4230E"/>
    <w:rsid w:val="00E44333"/>
    <w:rsid w:val="00E52558"/>
    <w:rsid w:val="00E52805"/>
    <w:rsid w:val="00E64114"/>
    <w:rsid w:val="00E670FA"/>
    <w:rsid w:val="00E674D1"/>
    <w:rsid w:val="00E731A9"/>
    <w:rsid w:val="00E76E59"/>
    <w:rsid w:val="00E800C3"/>
    <w:rsid w:val="00E815B7"/>
    <w:rsid w:val="00E86D35"/>
    <w:rsid w:val="00E90A4F"/>
    <w:rsid w:val="00E9411F"/>
    <w:rsid w:val="00EA0A32"/>
    <w:rsid w:val="00EA2FE1"/>
    <w:rsid w:val="00EB158C"/>
    <w:rsid w:val="00EB1954"/>
    <w:rsid w:val="00EB1FB2"/>
    <w:rsid w:val="00EB4DE9"/>
    <w:rsid w:val="00EC1EC1"/>
    <w:rsid w:val="00EC6D20"/>
    <w:rsid w:val="00ED5425"/>
    <w:rsid w:val="00EE308E"/>
    <w:rsid w:val="00EF03D7"/>
    <w:rsid w:val="00EF16A6"/>
    <w:rsid w:val="00EF5091"/>
    <w:rsid w:val="00EF55FB"/>
    <w:rsid w:val="00F00754"/>
    <w:rsid w:val="00F06CAF"/>
    <w:rsid w:val="00F27F6D"/>
    <w:rsid w:val="00F327B0"/>
    <w:rsid w:val="00F358F9"/>
    <w:rsid w:val="00F37206"/>
    <w:rsid w:val="00F5270B"/>
    <w:rsid w:val="00F553E6"/>
    <w:rsid w:val="00F60740"/>
    <w:rsid w:val="00F640AD"/>
    <w:rsid w:val="00F64F70"/>
    <w:rsid w:val="00F65AE1"/>
    <w:rsid w:val="00F708D1"/>
    <w:rsid w:val="00F75BEE"/>
    <w:rsid w:val="00F9144F"/>
    <w:rsid w:val="00F94042"/>
    <w:rsid w:val="00FA17A2"/>
    <w:rsid w:val="00FA51A2"/>
    <w:rsid w:val="00FB736A"/>
    <w:rsid w:val="00FC3C7C"/>
    <w:rsid w:val="00FC6A64"/>
    <w:rsid w:val="00FD3497"/>
    <w:rsid w:val="00FD49E2"/>
    <w:rsid w:val="00FE2555"/>
    <w:rsid w:val="00FF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51CD9-80C6-422A-B809-8B861D88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9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49E2"/>
    <w:pPr>
      <w:tabs>
        <w:tab w:val="center" w:pos="4320"/>
        <w:tab w:val="right" w:pos="8640"/>
      </w:tabs>
    </w:pPr>
  </w:style>
  <w:style w:type="character" w:customStyle="1" w:styleId="FooterChar">
    <w:name w:val="Footer Char"/>
    <w:basedOn w:val="DefaultParagraphFont"/>
    <w:link w:val="Footer"/>
    <w:rsid w:val="00FD49E2"/>
    <w:rPr>
      <w:rFonts w:ascii="Times New Roman" w:eastAsia="Times New Roman" w:hAnsi="Times New Roman" w:cs="Times New Roman"/>
      <w:sz w:val="24"/>
      <w:szCs w:val="24"/>
    </w:rPr>
  </w:style>
  <w:style w:type="character" w:styleId="Hyperlink">
    <w:name w:val="Hyperlink"/>
    <w:unhideWhenUsed/>
    <w:rsid w:val="00FD49E2"/>
    <w:rPr>
      <w:color w:val="0000FF"/>
      <w:u w:val="single"/>
    </w:rPr>
  </w:style>
  <w:style w:type="paragraph" w:styleId="NoSpacing">
    <w:name w:val="No Spacing"/>
    <w:uiPriority w:val="1"/>
    <w:qFormat/>
    <w:rsid w:val="00FD49E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49E2"/>
    <w:pPr>
      <w:ind w:left="720"/>
      <w:contextualSpacing/>
    </w:pPr>
  </w:style>
  <w:style w:type="paragraph" w:styleId="BodyText">
    <w:name w:val="Body Text"/>
    <w:basedOn w:val="Normal"/>
    <w:link w:val="BodyTextChar"/>
    <w:rsid w:val="00FD49E2"/>
    <w:rPr>
      <w:rFonts w:ascii="Arial" w:hAnsi="Arial" w:cs="Arial"/>
      <w:i/>
      <w:iCs/>
    </w:rPr>
  </w:style>
  <w:style w:type="character" w:customStyle="1" w:styleId="BodyTextChar">
    <w:name w:val="Body Text Char"/>
    <w:basedOn w:val="DefaultParagraphFont"/>
    <w:link w:val="BodyText"/>
    <w:rsid w:val="00FD49E2"/>
    <w:rPr>
      <w:rFonts w:ascii="Arial" w:eastAsia="Times New Roman" w:hAnsi="Arial" w:cs="Arial"/>
      <w:i/>
      <w:iCs/>
      <w:sz w:val="24"/>
      <w:szCs w:val="24"/>
    </w:rPr>
  </w:style>
  <w:style w:type="paragraph" w:styleId="NormalWeb">
    <w:name w:val="Normal (Web)"/>
    <w:basedOn w:val="Normal"/>
    <w:uiPriority w:val="99"/>
    <w:rsid w:val="00FD49E2"/>
    <w:pPr>
      <w:spacing w:before="100" w:beforeAutospacing="1" w:after="100" w:afterAutospacing="1"/>
    </w:pPr>
  </w:style>
  <w:style w:type="paragraph" w:customStyle="1" w:styleId="Default">
    <w:name w:val="Default"/>
    <w:rsid w:val="00FD49E2"/>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AD2C1E"/>
    <w:pPr>
      <w:tabs>
        <w:tab w:val="center" w:pos="4680"/>
        <w:tab w:val="right" w:pos="9360"/>
      </w:tabs>
    </w:pPr>
  </w:style>
  <w:style w:type="character" w:customStyle="1" w:styleId="HeaderChar">
    <w:name w:val="Header Char"/>
    <w:basedOn w:val="DefaultParagraphFont"/>
    <w:link w:val="Header"/>
    <w:uiPriority w:val="99"/>
    <w:rsid w:val="00AD2C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R:\BuildingCommons\Math\Math%20Curriculum%20Work%202015\Pre-Algebra\Unit%206%20Volume\Resources\Circular%20Reasoning%20-%20POM%20(1).pdf" TargetMode="External"/><Relationship Id="rId13" Type="http://schemas.openxmlformats.org/officeDocument/2006/relationships/image" Target="media/image1.emf"/><Relationship Id="rId18" Type="http://schemas.openxmlformats.org/officeDocument/2006/relationships/hyperlink" Target="http://rda.aps.edu/RDA/Performance_Task_Bank/Documents/7th_Grade/MAT.07.CR.1.0000G.F.488_v1.pdf" TargetMode="External"/><Relationship Id="rId26" Type="http://schemas.openxmlformats.org/officeDocument/2006/relationships/hyperlink" Target="Resources/volume%20cone%20(3).docx" TargetMode="External"/><Relationship Id="rId3" Type="http://schemas.openxmlformats.org/officeDocument/2006/relationships/settings" Target="settings.xml"/><Relationship Id="rId21" Type="http://schemas.openxmlformats.org/officeDocument/2006/relationships/hyperlink" Target="file:///R:\BuildingCommons\Math\Math%20Curriculum%20Work%202015\Pre-Algebra\Unit%206%20Volume\Resources\Parallelogram%20-%20Task.pdf" TargetMode="External"/><Relationship Id="rId7" Type="http://schemas.openxmlformats.org/officeDocument/2006/relationships/hyperlink" Target="http://rda.aps.edu/RDA/Performance_Task_Bank/Documents/7th_Grade/Circular%20Reasoning%20-%20POM.pdf" TargetMode="External"/><Relationship Id="rId12" Type="http://schemas.openxmlformats.org/officeDocument/2006/relationships/hyperlink" Target="http://threeacts.mrmeyer.com/hotcoffee/" TargetMode="External"/><Relationship Id="rId17" Type="http://schemas.openxmlformats.org/officeDocument/2006/relationships/hyperlink" Target="file:///R:\BuildingCommons\Math\Math%20Curriculum%20Work%202015\Pre-Algebra\Unit%206%20Volume\Resources\Lawn%20Mowing%20-%20Tasks.pdf" TargetMode="External"/><Relationship Id="rId25" Type="http://schemas.openxmlformats.org/officeDocument/2006/relationships/hyperlink" Target="Resources/how%20many%20jellybeans%20r1%20(2).pdf" TargetMode="External"/><Relationship Id="rId2" Type="http://schemas.openxmlformats.org/officeDocument/2006/relationships/styles" Target="styles.xml"/><Relationship Id="rId16" Type="http://schemas.openxmlformats.org/officeDocument/2006/relationships/hyperlink" Target="http://rda.aps.edu/RDA/Performance_Task_Bank/Documents/7th_Grade/Lawn%20Mowing%20-%20Tasks.pdf" TargetMode="External"/><Relationship Id="rId20" Type="http://schemas.openxmlformats.org/officeDocument/2006/relationships/hyperlink" Target="http://rda.aps.edu/RDA/Performance_Task_Bank/Documents/7th_Grade/Parallelogram%20-%20Task.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peakmath.org/2014/05/02/volume-of-cones-discovery-lesson/" TargetMode="External"/><Relationship Id="rId24" Type="http://schemas.openxmlformats.org/officeDocument/2006/relationships/hyperlink" Target="file:///\\hkms-st01\FacultyCommons\BuildingCommons\Math\Math%20Curriculum%20Work%202015\Pre-Algebra\Unit%206%20Volume\Resources\Volume%20of%20spheres%20cones%20cylinder%20perfume%20bottle%20comparison.docx"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illuminations.nctm.org/Lesson.aspx?id=2927" TargetMode="External"/><Relationship Id="rId28" Type="http://schemas.openxmlformats.org/officeDocument/2006/relationships/footer" Target="footer1.xml"/><Relationship Id="rId10" Type="http://schemas.openxmlformats.org/officeDocument/2006/relationships/hyperlink" Target="http://Resources/circles.pdf" TargetMode="External"/><Relationship Id="rId19" Type="http://schemas.openxmlformats.org/officeDocument/2006/relationships/hyperlink" Target="file:///\\hkms-st01\FacultyCommons\BuildingCommons\Math\Math%20Curriculum%20Work%202015\Pre-Algebra\Unit%206%20Volume\Resources\MAT.07.CR.1.0000G.F.488_v1.pdf" TargetMode="External"/><Relationship Id="rId4" Type="http://schemas.openxmlformats.org/officeDocument/2006/relationships/webSettings" Target="webSettings.xml"/><Relationship Id="rId9" Type="http://schemas.openxmlformats.org/officeDocument/2006/relationships/hyperlink" Target="file:///C:\Users\jderose\Downloads\Resources\mess_8-7ab.pdf" TargetMode="External"/><Relationship Id="rId14" Type="http://schemas.openxmlformats.org/officeDocument/2006/relationships/image" Target="media/image2.emf"/><Relationship Id="rId22" Type="http://schemas.openxmlformats.org/officeDocument/2006/relationships/hyperlink" Target="file:///R:\BuildingCommons\Math\Math%20Curriculum%20Work%202015\Pre-Algebra\Unit%206%20Volume\Resources\Popcorn-AS-Cylinders.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DeRose, Joseph</dc:creator>
  <cp:keywords/>
  <dc:description/>
  <cp:lastModifiedBy>DeRose, Joseph</cp:lastModifiedBy>
  <cp:revision>3</cp:revision>
  <dcterms:created xsi:type="dcterms:W3CDTF">2016-05-20T13:39:00Z</dcterms:created>
  <dcterms:modified xsi:type="dcterms:W3CDTF">2016-05-20T13:56:00Z</dcterms:modified>
</cp:coreProperties>
</file>